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87A4" w14:textId="77777777" w:rsidR="003F310C" w:rsidRDefault="003F310C" w:rsidP="003F310C">
      <w:pPr>
        <w:rPr>
          <w:rFonts w:ascii="Calibre Semibold" w:hAnsi="Calibre Semibold"/>
          <w:lang w:eastAsia="en-GB"/>
        </w:rPr>
      </w:pPr>
      <w:r w:rsidRPr="003F310C">
        <w:rPr>
          <w:rFonts w:ascii="Calibre Semibold" w:hAnsi="Calibre Semibold"/>
          <w:b w:val="0"/>
          <w:bCs w:val="0"/>
          <w:noProof/>
          <w:sz w:val="24"/>
          <w:szCs w:val="24"/>
          <w:lang w:val="en-US"/>
        </w:rPr>
        <mc:AlternateContent>
          <mc:Choice Requires="wps">
            <w:drawing>
              <wp:anchor distT="45720" distB="45720" distL="114300" distR="114300" simplePos="0" relativeHeight="251659264" behindDoc="0" locked="0" layoutInCell="1" allowOverlap="1" wp14:anchorId="3DDADD30" wp14:editId="0F2F827F">
                <wp:simplePos x="0" y="0"/>
                <wp:positionH relativeFrom="margin">
                  <wp:align>left</wp:align>
                </wp:positionH>
                <wp:positionV relativeFrom="paragraph">
                  <wp:posOffset>182880</wp:posOffset>
                </wp:positionV>
                <wp:extent cx="6568440" cy="1930400"/>
                <wp:effectExtent l="0" t="0" r="2286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1930400"/>
                        </a:xfrm>
                        <a:prstGeom prst="rect">
                          <a:avLst/>
                        </a:prstGeom>
                        <a:solidFill>
                          <a:srgbClr val="FFFFFF"/>
                        </a:solidFill>
                        <a:ln w="9525">
                          <a:solidFill>
                            <a:srgbClr val="000000"/>
                          </a:solidFill>
                          <a:miter lim="800000"/>
                          <a:headEnd/>
                          <a:tailEnd/>
                        </a:ln>
                      </wps:spPr>
                      <wps:txbx>
                        <w:txbxContent>
                          <w:p w14:paraId="41A93E52" w14:textId="77777777" w:rsidR="00782F85" w:rsidRDefault="00782F85" w:rsidP="003F310C">
                            <w:pPr>
                              <w:rPr>
                                <w:rFonts w:ascii="Calibre Semibold" w:hAnsi="Calibre Semibold"/>
                                <w:sz w:val="24"/>
                                <w:szCs w:val="24"/>
                                <w:lang w:val="en-US"/>
                              </w:rPr>
                            </w:pPr>
                          </w:p>
                          <w:p w14:paraId="0314E495" w14:textId="422FDFCB" w:rsidR="003F310C" w:rsidRPr="002948F0" w:rsidRDefault="003F310C" w:rsidP="003F310C">
                            <w:pPr>
                              <w:rPr>
                                <w:rFonts w:ascii="Calibre Semibold" w:hAnsi="Calibre Semibold"/>
                                <w:color w:val="D60093"/>
                                <w:sz w:val="24"/>
                                <w:szCs w:val="24"/>
                                <w:lang w:val="en-US"/>
                              </w:rPr>
                            </w:pPr>
                            <w:r w:rsidRPr="002948F0">
                              <w:rPr>
                                <w:rFonts w:ascii="Calibre Semibold" w:hAnsi="Calibre Semibold"/>
                                <w:sz w:val="24"/>
                                <w:szCs w:val="24"/>
                                <w:lang w:val="en-US"/>
                              </w:rPr>
                              <w:t xml:space="preserve">Overview of London Funders’ insight meetings </w:t>
                            </w:r>
                          </w:p>
                          <w:p w14:paraId="5391E831" w14:textId="2B4010A0" w:rsidR="003F310C" w:rsidRPr="002948F0" w:rsidRDefault="003F310C" w:rsidP="003F310C">
                            <w:pPr>
                              <w:rPr>
                                <w:rFonts w:ascii="Calibre Light" w:hAnsi="Calibre Light" w:cstheme="minorHAnsi"/>
                                <w:sz w:val="24"/>
                                <w:szCs w:val="24"/>
                                <w:lang w:val="en-US"/>
                              </w:rPr>
                            </w:pPr>
                            <w:r w:rsidRPr="002948F0">
                              <w:rPr>
                                <w:rFonts w:ascii="Calibre Light" w:hAnsi="Calibre Light" w:cstheme="minorHAnsi"/>
                                <w:color w:val="000000"/>
                                <w:sz w:val="24"/>
                                <w:szCs w:val="24"/>
                                <w:shd w:val="clear" w:color="auto" w:fill="FFFFFF"/>
                              </w:rPr>
                              <w:t xml:space="preserve">To ensure that our members are informed about how current events, demographic trends and policy decisions affect the lives of the communities we serve, London Funders host monthly member-exclusive insight meetings. Keep an eye on our website for </w:t>
                            </w:r>
                            <w:hyperlink r:id="rId11" w:history="1">
                              <w:r w:rsidRPr="008F5DFB">
                                <w:rPr>
                                  <w:rStyle w:val="Hyperlink"/>
                                  <w:rFonts w:ascii="Calibre Light" w:hAnsi="Calibre Light" w:cstheme="minorHAnsi"/>
                                  <w:sz w:val="24"/>
                                  <w:szCs w:val="24"/>
                                  <w:shd w:val="clear" w:color="auto" w:fill="FFFFFF"/>
                                </w:rPr>
                                <w:t>upcoming e</w:t>
                              </w:r>
                              <w:r w:rsidRPr="008F5DFB">
                                <w:rPr>
                                  <w:rStyle w:val="Hyperlink"/>
                                  <w:rFonts w:ascii="Calibre Light" w:hAnsi="Calibre Light" w:cstheme="minorHAnsi"/>
                                  <w:sz w:val="24"/>
                                  <w:szCs w:val="24"/>
                                  <w:shd w:val="clear" w:color="auto" w:fill="FFFFFF"/>
                                </w:rPr>
                                <w:t>v</w:t>
                              </w:r>
                              <w:r w:rsidRPr="008F5DFB">
                                <w:rPr>
                                  <w:rStyle w:val="Hyperlink"/>
                                  <w:rFonts w:ascii="Calibre Light" w:hAnsi="Calibre Light" w:cstheme="minorHAnsi"/>
                                  <w:sz w:val="24"/>
                                  <w:szCs w:val="24"/>
                                  <w:shd w:val="clear" w:color="auto" w:fill="FFFFFF"/>
                                </w:rPr>
                                <w:t>ents.</w:t>
                              </w:r>
                            </w:hyperlink>
                          </w:p>
                          <w:p w14:paraId="1F858542" w14:textId="77777777" w:rsidR="003F310C" w:rsidRPr="002948F0" w:rsidRDefault="003F310C" w:rsidP="003F310C">
                            <w:pPr>
                              <w:rPr>
                                <w:rFonts w:ascii="Calibre Light" w:hAnsi="Calibre Light"/>
                                <w:sz w:val="24"/>
                                <w:szCs w:val="24"/>
                                <w:lang w:val="en-US"/>
                              </w:rPr>
                            </w:pPr>
                            <w:r w:rsidRPr="002948F0">
                              <w:rPr>
                                <w:rFonts w:ascii="Calibre Light" w:hAnsi="Calibre Light"/>
                                <w:sz w:val="24"/>
                                <w:szCs w:val="24"/>
                                <w:lang w:val="en-US"/>
                              </w:rPr>
                              <w:t xml:space="preserve">We host meetings at the last Wednesday of every month. Topics will be announced at the beginning of every month via Funder Five and on our website. </w:t>
                            </w:r>
                          </w:p>
                          <w:p w14:paraId="6055FD35" w14:textId="77777777" w:rsidR="003F310C" w:rsidRDefault="003F31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DADD30" id="_x0000_t202" coordsize="21600,21600" o:spt="202" path="m,l,21600r21600,l21600,xe">
                <v:stroke joinstyle="miter"/>
                <v:path gradientshapeok="t" o:connecttype="rect"/>
              </v:shapetype>
              <v:shape id="Text Box 2" o:spid="_x0000_s1026" type="#_x0000_t202" style="position:absolute;margin-left:0;margin-top:14.4pt;width:517.2pt;height:15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9yEAIAACAEAAAOAAAAZHJzL2Uyb0RvYy54bWysk82O0zAQx+9IvIPlO01a2tJGTVdLlyKk&#10;5UNaeICJ4zQWjsfYbpPy9Izdbrda4ILwwbI9479nfjNe3QydZgfpvEJT8vEo50wagbUyu5J/+7p9&#10;teDMBzA1aDSy5Efp+c365YtVbws5wRZ1LR0jEeOL3pa8DcEWWeZFKzvwI7TSkLFB10GgrdtltYOe&#10;1DudTfJ8nvXoautQSO/p9O5k5Ouk3zRShM9N42VguuQUW0izS3MV52y9gmLnwLZKnMOAf4iiA2Xo&#10;0YvUHQRge6d+k+qUcOixCSOBXYZNo4RMOVA24/xZNg8tWJlyITjeXjD5/ycrPh0e7BfHwvAWBypg&#10;SsLbexTfPTO4acHs5K1z2LcSanp4HJFlvfXF+WpE7QsfRar+I9ZUZNgHTEJD47pIhfJkpE4FOF6g&#10;yyEwQYfz2XwxnZJJkG28fJ1P81SWDIrH69b58F5ix+Ki5I6qmuThcO9DDAeKR5f4mket6q3SOm3c&#10;rtpoxw5AHbBNI2XwzE0b1pd8OZvMTgT+KpGn8SeJTgVqZa26ki8uTlBEbu9MnRotgNKnNYWszRlk&#10;ZHeiGIZqIMcItML6SEgdnlqWvhgtWnQ/OeupXUvuf+zBSc70B0NlWY4Tw5A209mbCQF115bq2gJG&#10;kFTJA2en5SakPxGBGbyl8jUqgX2K5BwrtWHiff4ysc+v98nr6WOvfwEAAP//AwBQSwMEFAAGAAgA&#10;AAAhAG2qFXbeAAAACAEAAA8AAABkcnMvZG93bnJldi54bWxMj8FOwzAQRO9I/IO1SFwQdUiiEkI2&#10;FUICwQ1KVa5uvE0i4nWw3TT8Pe4JjqMZzbypVrMZxETO95YRbhYJCOLG6p5bhM3H03UBwgfFWg2W&#10;CeGHPKzq87NKldoe+Z2mdWhFLGFfKoQuhLGU0jcdGeUXdiSO3t46o0KUrpXaqWMsN4NMk2Qpjeo5&#10;LnRqpMeOmq/1wSAU+cv06V+zt22z3A934ep2ev52iJcX88M9iEBz+AvDCT+iQx2ZdvbA2osBIR4J&#10;CGkR+U9ukuU5iB1ClqUFyLqS/w/UvwAAAP//AwBQSwECLQAUAAYACAAAACEAtoM4kv4AAADhAQAA&#10;EwAAAAAAAAAAAAAAAAAAAAAAW0NvbnRlbnRfVHlwZXNdLnhtbFBLAQItABQABgAIAAAAIQA4/SH/&#10;1gAAAJQBAAALAAAAAAAAAAAAAAAAAC8BAABfcmVscy8ucmVsc1BLAQItABQABgAIAAAAIQB5/C9y&#10;EAIAACAEAAAOAAAAAAAAAAAAAAAAAC4CAABkcnMvZTJvRG9jLnhtbFBLAQItABQABgAIAAAAIQBt&#10;qhV23gAAAAgBAAAPAAAAAAAAAAAAAAAAAGoEAABkcnMvZG93bnJldi54bWxQSwUGAAAAAAQABADz&#10;AAAAdQUAAAAA&#10;">
                <v:textbox>
                  <w:txbxContent>
                    <w:p w14:paraId="41A93E52" w14:textId="77777777" w:rsidR="00782F85" w:rsidRDefault="00782F85" w:rsidP="003F310C">
                      <w:pPr>
                        <w:rPr>
                          <w:rFonts w:ascii="Calibre Semibold" w:hAnsi="Calibre Semibold"/>
                          <w:sz w:val="24"/>
                          <w:szCs w:val="24"/>
                          <w:lang w:val="en-US"/>
                        </w:rPr>
                      </w:pPr>
                    </w:p>
                    <w:p w14:paraId="0314E495" w14:textId="422FDFCB" w:rsidR="003F310C" w:rsidRPr="002948F0" w:rsidRDefault="003F310C" w:rsidP="003F310C">
                      <w:pPr>
                        <w:rPr>
                          <w:rFonts w:ascii="Calibre Semibold" w:hAnsi="Calibre Semibold"/>
                          <w:color w:val="D60093"/>
                          <w:sz w:val="24"/>
                          <w:szCs w:val="24"/>
                          <w:lang w:val="en-US"/>
                        </w:rPr>
                      </w:pPr>
                      <w:r w:rsidRPr="002948F0">
                        <w:rPr>
                          <w:rFonts w:ascii="Calibre Semibold" w:hAnsi="Calibre Semibold"/>
                          <w:sz w:val="24"/>
                          <w:szCs w:val="24"/>
                          <w:lang w:val="en-US"/>
                        </w:rPr>
                        <w:t xml:space="preserve">Overview of London Funders’ insight meetings </w:t>
                      </w:r>
                    </w:p>
                    <w:p w14:paraId="5391E831" w14:textId="2B4010A0" w:rsidR="003F310C" w:rsidRPr="002948F0" w:rsidRDefault="003F310C" w:rsidP="003F310C">
                      <w:pPr>
                        <w:rPr>
                          <w:rFonts w:ascii="Calibre Light" w:hAnsi="Calibre Light" w:cstheme="minorHAnsi"/>
                          <w:sz w:val="24"/>
                          <w:szCs w:val="24"/>
                          <w:lang w:val="en-US"/>
                        </w:rPr>
                      </w:pPr>
                      <w:r w:rsidRPr="002948F0">
                        <w:rPr>
                          <w:rFonts w:ascii="Calibre Light" w:hAnsi="Calibre Light" w:cstheme="minorHAnsi"/>
                          <w:color w:val="000000"/>
                          <w:sz w:val="24"/>
                          <w:szCs w:val="24"/>
                          <w:shd w:val="clear" w:color="auto" w:fill="FFFFFF"/>
                        </w:rPr>
                        <w:t xml:space="preserve">To ensure that our members are informed about how current events, demographic trends and policy decisions affect the lives of the communities we serve, London Funders host monthly member-exclusive insight meetings. Keep an eye on our website for </w:t>
                      </w:r>
                      <w:hyperlink r:id="rId12" w:history="1">
                        <w:r w:rsidRPr="008F5DFB">
                          <w:rPr>
                            <w:rStyle w:val="Hyperlink"/>
                            <w:rFonts w:ascii="Calibre Light" w:hAnsi="Calibre Light" w:cstheme="minorHAnsi"/>
                            <w:sz w:val="24"/>
                            <w:szCs w:val="24"/>
                            <w:shd w:val="clear" w:color="auto" w:fill="FFFFFF"/>
                          </w:rPr>
                          <w:t>upcoming e</w:t>
                        </w:r>
                        <w:r w:rsidRPr="008F5DFB">
                          <w:rPr>
                            <w:rStyle w:val="Hyperlink"/>
                            <w:rFonts w:ascii="Calibre Light" w:hAnsi="Calibre Light" w:cstheme="minorHAnsi"/>
                            <w:sz w:val="24"/>
                            <w:szCs w:val="24"/>
                            <w:shd w:val="clear" w:color="auto" w:fill="FFFFFF"/>
                          </w:rPr>
                          <w:t>v</w:t>
                        </w:r>
                        <w:r w:rsidRPr="008F5DFB">
                          <w:rPr>
                            <w:rStyle w:val="Hyperlink"/>
                            <w:rFonts w:ascii="Calibre Light" w:hAnsi="Calibre Light" w:cstheme="minorHAnsi"/>
                            <w:sz w:val="24"/>
                            <w:szCs w:val="24"/>
                            <w:shd w:val="clear" w:color="auto" w:fill="FFFFFF"/>
                          </w:rPr>
                          <w:t>ents.</w:t>
                        </w:r>
                      </w:hyperlink>
                    </w:p>
                    <w:p w14:paraId="1F858542" w14:textId="77777777" w:rsidR="003F310C" w:rsidRPr="002948F0" w:rsidRDefault="003F310C" w:rsidP="003F310C">
                      <w:pPr>
                        <w:rPr>
                          <w:rFonts w:ascii="Calibre Light" w:hAnsi="Calibre Light"/>
                          <w:sz w:val="24"/>
                          <w:szCs w:val="24"/>
                          <w:lang w:val="en-US"/>
                        </w:rPr>
                      </w:pPr>
                      <w:r w:rsidRPr="002948F0">
                        <w:rPr>
                          <w:rFonts w:ascii="Calibre Light" w:hAnsi="Calibre Light"/>
                          <w:sz w:val="24"/>
                          <w:szCs w:val="24"/>
                          <w:lang w:val="en-US"/>
                        </w:rPr>
                        <w:t xml:space="preserve">We host meetings at the last Wednesday of every month. Topics will be announced at the beginning of every month via Funder Five and on our website. </w:t>
                      </w:r>
                    </w:p>
                    <w:p w14:paraId="6055FD35" w14:textId="77777777" w:rsidR="003F310C" w:rsidRDefault="003F310C"/>
                  </w:txbxContent>
                </v:textbox>
                <w10:wrap type="square" anchorx="margin"/>
              </v:shape>
            </w:pict>
          </mc:Fallback>
        </mc:AlternateContent>
      </w:r>
    </w:p>
    <w:p w14:paraId="0BBF70F8" w14:textId="36EF6F31" w:rsidR="002948F0" w:rsidRDefault="002948F0" w:rsidP="003F310C">
      <w:pPr>
        <w:rPr>
          <w:rFonts w:ascii="Calibre Semibold" w:hAnsi="Calibre Semibold"/>
          <w:lang w:eastAsia="en-GB"/>
        </w:rPr>
      </w:pPr>
      <w:r w:rsidRPr="00B55F34">
        <w:rPr>
          <w:rFonts w:ascii="Calibre Semibold" w:hAnsi="Calibre Semibold"/>
          <w:lang w:eastAsia="en-GB"/>
        </w:rPr>
        <w:t>Civic Strength Index</w:t>
      </w:r>
    </w:p>
    <w:p w14:paraId="43CCDDA4" w14:textId="2E925062" w:rsidR="00E240F3" w:rsidRPr="00494F2E" w:rsidRDefault="00E240F3" w:rsidP="00E240F3">
      <w:pPr>
        <w:pStyle w:val="NoSpacing"/>
        <w:rPr>
          <w:rFonts w:ascii="Calibre Light" w:hAnsi="Calibre Light"/>
          <w:sz w:val="24"/>
          <w:szCs w:val="24"/>
          <w:lang w:eastAsia="en-GB"/>
        </w:rPr>
      </w:pPr>
      <w:r w:rsidRPr="00494F2E">
        <w:rPr>
          <w:rFonts w:ascii="Calibre Light" w:hAnsi="Calibre Light" w:cstheme="minorHAnsi"/>
          <w:sz w:val="24"/>
          <w:szCs w:val="24"/>
          <w:lang w:val="en-US"/>
        </w:rPr>
        <w:t xml:space="preserve">We were delighted to be joined by Hannah Goulding and Ladan Dirie from the GLA </w:t>
      </w:r>
      <w:r w:rsidR="003F310C" w:rsidRPr="00494F2E">
        <w:rPr>
          <w:rFonts w:ascii="Calibre Light" w:hAnsi="Calibre Light"/>
          <w:color w:val="000000"/>
          <w:sz w:val="24"/>
          <w:szCs w:val="24"/>
        </w:rPr>
        <w:t xml:space="preserve">who </w:t>
      </w:r>
      <w:proofErr w:type="gramStart"/>
      <w:r w:rsidR="003F310C" w:rsidRPr="00494F2E">
        <w:rPr>
          <w:rFonts w:ascii="Calibre Light" w:hAnsi="Calibre Light"/>
          <w:color w:val="000000"/>
          <w:sz w:val="24"/>
          <w:szCs w:val="24"/>
        </w:rPr>
        <w:t>provided an introduction to</w:t>
      </w:r>
      <w:proofErr w:type="gramEnd"/>
      <w:r w:rsidR="003F310C" w:rsidRPr="00494F2E">
        <w:rPr>
          <w:rFonts w:ascii="Calibre Light" w:hAnsi="Calibre Light"/>
          <w:color w:val="000000"/>
          <w:sz w:val="24"/>
          <w:szCs w:val="24"/>
        </w:rPr>
        <w:t xml:space="preserve"> the Civic Strength Index; how funders can use it and heard from London Funders members on how funders can engage with the Index as it grows.</w:t>
      </w:r>
    </w:p>
    <w:p w14:paraId="6E26064E" w14:textId="77777777" w:rsidR="00E240F3" w:rsidRPr="00494F2E" w:rsidRDefault="00E240F3" w:rsidP="002948F0">
      <w:pPr>
        <w:pStyle w:val="NoSpacing"/>
        <w:rPr>
          <w:rFonts w:ascii="Calibre Light" w:hAnsi="Calibre Light"/>
          <w:color w:val="C7047E"/>
          <w:sz w:val="24"/>
          <w:szCs w:val="24"/>
          <w:lang w:eastAsia="en-GB"/>
        </w:rPr>
      </w:pPr>
    </w:p>
    <w:p w14:paraId="048DEEE0" w14:textId="77777777" w:rsidR="002948F0" w:rsidRPr="00494F2E" w:rsidRDefault="002948F0" w:rsidP="002948F0">
      <w:pPr>
        <w:rPr>
          <w:rFonts w:ascii="Calibre Light" w:hAnsi="Calibre Light"/>
          <w:b w:val="0"/>
          <w:bCs w:val="0"/>
          <w:color w:val="auto"/>
          <w:sz w:val="24"/>
          <w:szCs w:val="24"/>
        </w:rPr>
      </w:pPr>
      <w:r w:rsidRPr="00494F2E">
        <w:rPr>
          <w:rFonts w:ascii="Calibre Light" w:hAnsi="Calibre Light"/>
          <w:b w:val="0"/>
          <w:bCs w:val="0"/>
          <w:color w:val="auto"/>
          <w:sz w:val="24"/>
          <w:szCs w:val="24"/>
        </w:rPr>
        <w:t>Co-designed and co-created with Londoners, the Civic Strength Index was developed by The Young Foundation and funded by the GLA. It helps London boroughs and organisations support discussions about the strengths of their communities and consider how to build on them. The index provides a definition, framework, case studies and interactive tool and maps exploring the spread of civic strength across London.</w:t>
      </w:r>
    </w:p>
    <w:p w14:paraId="5411BC20" w14:textId="3B492928" w:rsidR="002948F0" w:rsidRPr="00494F2E" w:rsidRDefault="002948F0" w:rsidP="002948F0">
      <w:pPr>
        <w:pStyle w:val="NoSpacing"/>
        <w:rPr>
          <w:rFonts w:ascii="Calibre Light" w:hAnsi="Calibre Light"/>
          <w:sz w:val="24"/>
          <w:szCs w:val="24"/>
          <w:lang w:eastAsia="en-GB"/>
        </w:rPr>
      </w:pPr>
      <w:r w:rsidRPr="00494F2E">
        <w:rPr>
          <w:rFonts w:ascii="Calibre Light" w:hAnsi="Calibre Light"/>
          <w:sz w:val="24"/>
          <w:szCs w:val="24"/>
          <w:lang w:eastAsia="en-GB"/>
        </w:rPr>
        <w:t xml:space="preserve">You can find the index and post-code look up tool (which provides a code per ward) </w:t>
      </w:r>
      <w:hyperlink r:id="rId13" w:history="1">
        <w:r w:rsidRPr="00494F2E">
          <w:rPr>
            <w:rStyle w:val="Hyperlink"/>
            <w:rFonts w:ascii="Calibre Light" w:hAnsi="Calibre Light"/>
            <w:sz w:val="24"/>
            <w:szCs w:val="24"/>
            <w:lang w:eastAsia="en-GB"/>
          </w:rPr>
          <w:t>her</w:t>
        </w:r>
        <w:r w:rsidRPr="00494F2E">
          <w:rPr>
            <w:rStyle w:val="Hyperlink"/>
            <w:rFonts w:ascii="Calibre Light" w:hAnsi="Calibre Light"/>
            <w:sz w:val="24"/>
            <w:szCs w:val="24"/>
            <w:lang w:eastAsia="en-GB"/>
          </w:rPr>
          <w:t>e</w:t>
        </w:r>
      </w:hyperlink>
      <w:r w:rsidRPr="00494F2E">
        <w:rPr>
          <w:rFonts w:ascii="Calibre Light" w:hAnsi="Calibre Light"/>
          <w:sz w:val="24"/>
          <w:szCs w:val="24"/>
          <w:lang w:eastAsia="en-GB"/>
        </w:rPr>
        <w:t>.</w:t>
      </w:r>
    </w:p>
    <w:p w14:paraId="476AECAB" w14:textId="77777777" w:rsidR="002948F0" w:rsidRPr="00494F2E" w:rsidRDefault="002948F0" w:rsidP="002948F0">
      <w:pPr>
        <w:pStyle w:val="NoSpacing"/>
        <w:rPr>
          <w:rFonts w:ascii="Calibre Light" w:hAnsi="Calibre Light"/>
          <w:sz w:val="24"/>
          <w:szCs w:val="24"/>
          <w:lang w:eastAsia="en-GB"/>
        </w:rPr>
      </w:pPr>
    </w:p>
    <w:p w14:paraId="463F854E" w14:textId="3C9B0DE1" w:rsidR="002948F0" w:rsidRPr="00494F2E" w:rsidRDefault="002948F0" w:rsidP="002948F0">
      <w:pPr>
        <w:pStyle w:val="NoSpacing"/>
        <w:rPr>
          <w:rFonts w:ascii="Calibre Light" w:hAnsi="Calibre Light"/>
          <w:sz w:val="24"/>
          <w:szCs w:val="24"/>
          <w:lang w:eastAsia="en-GB"/>
        </w:rPr>
      </w:pPr>
      <w:r w:rsidRPr="6D009837">
        <w:rPr>
          <w:rFonts w:ascii="Calibre Light" w:hAnsi="Calibre Light"/>
          <w:sz w:val="24"/>
          <w:szCs w:val="24"/>
          <w:lang w:eastAsia="en-GB"/>
        </w:rPr>
        <w:t>Three themes of civic strength came out of the research:</w:t>
      </w:r>
      <w:r w:rsidR="004C1AF6">
        <w:rPr>
          <w:rFonts w:ascii="Calibre Light" w:hAnsi="Calibre Light"/>
          <w:sz w:val="24"/>
          <w:szCs w:val="24"/>
          <w:lang w:eastAsia="en-GB"/>
        </w:rPr>
        <w:br/>
      </w:r>
    </w:p>
    <w:p w14:paraId="0DE9DE07" w14:textId="77777777" w:rsidR="002948F0" w:rsidRPr="004C1AF6" w:rsidRDefault="002948F0" w:rsidP="002948F0">
      <w:pPr>
        <w:pStyle w:val="NoSpacing"/>
        <w:rPr>
          <w:rFonts w:ascii="Calibre Light" w:hAnsi="Calibre Light"/>
          <w:sz w:val="24"/>
          <w:szCs w:val="24"/>
          <w:lang w:eastAsia="en-GB"/>
        </w:rPr>
      </w:pPr>
    </w:p>
    <w:p w14:paraId="5FF75A1A" w14:textId="6AF2F3BA" w:rsidR="002948F0" w:rsidRPr="004C1AF6" w:rsidRDefault="002948F0" w:rsidP="002948F0">
      <w:pPr>
        <w:pStyle w:val="NoSpacing"/>
        <w:numPr>
          <w:ilvl w:val="0"/>
          <w:numId w:val="4"/>
        </w:numPr>
        <w:rPr>
          <w:rFonts w:ascii="Calibre Light" w:hAnsi="Calibre Light"/>
          <w:b/>
          <w:bCs/>
          <w:sz w:val="24"/>
          <w:szCs w:val="24"/>
          <w:lang w:eastAsia="en-GB"/>
        </w:rPr>
      </w:pPr>
      <w:r w:rsidRPr="004C1AF6">
        <w:rPr>
          <w:rFonts w:ascii="Calibre Light" w:hAnsi="Calibre Light"/>
          <w:b/>
          <w:bCs/>
          <w:sz w:val="24"/>
          <w:szCs w:val="24"/>
          <w:lang w:eastAsia="en-GB"/>
        </w:rPr>
        <w:t xml:space="preserve">Relationships and </w:t>
      </w:r>
      <w:r w:rsidR="00427CBF" w:rsidRPr="004C1AF6">
        <w:rPr>
          <w:rFonts w:ascii="Calibre Light" w:hAnsi="Calibre Light"/>
          <w:b/>
          <w:bCs/>
          <w:sz w:val="24"/>
          <w:szCs w:val="24"/>
          <w:lang w:eastAsia="en-GB"/>
        </w:rPr>
        <w:t>S</w:t>
      </w:r>
      <w:r w:rsidRPr="004C1AF6">
        <w:rPr>
          <w:rFonts w:ascii="Calibre Light" w:hAnsi="Calibre Light"/>
          <w:b/>
          <w:bCs/>
          <w:sz w:val="24"/>
          <w:szCs w:val="24"/>
          <w:lang w:eastAsia="en-GB"/>
        </w:rPr>
        <w:t xml:space="preserve">ocial </w:t>
      </w:r>
      <w:r w:rsidR="00427CBF" w:rsidRPr="004C1AF6">
        <w:rPr>
          <w:rFonts w:ascii="Calibre Light" w:hAnsi="Calibre Light"/>
          <w:b/>
          <w:bCs/>
          <w:sz w:val="24"/>
          <w:szCs w:val="24"/>
          <w:lang w:eastAsia="en-GB"/>
        </w:rPr>
        <w:t>C</w:t>
      </w:r>
      <w:r w:rsidRPr="004C1AF6">
        <w:rPr>
          <w:rFonts w:ascii="Calibre Light" w:hAnsi="Calibre Light"/>
          <w:b/>
          <w:bCs/>
          <w:sz w:val="24"/>
          <w:szCs w:val="24"/>
          <w:lang w:eastAsia="en-GB"/>
        </w:rPr>
        <w:t>apital</w:t>
      </w:r>
    </w:p>
    <w:p w14:paraId="2F37B1DB" w14:textId="249974FE" w:rsidR="00320EB1" w:rsidRPr="004C1AF6" w:rsidRDefault="007732D1" w:rsidP="002948F0">
      <w:pPr>
        <w:pStyle w:val="NoSpacing"/>
        <w:rPr>
          <w:rFonts w:ascii="Calibre Light" w:hAnsi="Calibre Light"/>
          <w:sz w:val="24"/>
          <w:szCs w:val="24"/>
          <w:lang w:eastAsia="en-GB"/>
        </w:rPr>
      </w:pPr>
      <w:r w:rsidRPr="004C1AF6">
        <w:rPr>
          <w:rFonts w:ascii="Calibre Light" w:hAnsi="Calibre Light"/>
          <w:sz w:val="24"/>
          <w:szCs w:val="24"/>
        </w:rPr>
        <w:t xml:space="preserve">This section pinned down the things that are more difficult to measure; </w:t>
      </w:r>
      <w:r w:rsidR="00695A9E" w:rsidRPr="004C1AF6">
        <w:rPr>
          <w:rFonts w:ascii="Calibre Light" w:hAnsi="Calibre Light"/>
          <w:sz w:val="24"/>
          <w:szCs w:val="24"/>
        </w:rPr>
        <w:t xml:space="preserve">what </w:t>
      </w:r>
      <w:r w:rsidRPr="004C1AF6">
        <w:rPr>
          <w:rFonts w:ascii="Calibre Light" w:hAnsi="Calibre Light"/>
          <w:sz w:val="24"/>
          <w:szCs w:val="24"/>
        </w:rPr>
        <w:t xml:space="preserve">people think of when they think of a strong community </w:t>
      </w:r>
      <w:proofErr w:type="gramStart"/>
      <w:r w:rsidR="00113E36" w:rsidRPr="004C1AF6">
        <w:rPr>
          <w:rFonts w:ascii="Calibre Light" w:hAnsi="Calibre Light"/>
          <w:sz w:val="24"/>
          <w:szCs w:val="24"/>
        </w:rPr>
        <w:t>e.g.</w:t>
      </w:r>
      <w:proofErr w:type="gramEnd"/>
      <w:r w:rsidR="00113E36" w:rsidRPr="004C1AF6">
        <w:rPr>
          <w:rFonts w:ascii="Calibre Light" w:hAnsi="Calibre Light"/>
          <w:sz w:val="24"/>
          <w:szCs w:val="24"/>
        </w:rPr>
        <w:t xml:space="preserve"> </w:t>
      </w:r>
      <w:r w:rsidRPr="004C1AF6">
        <w:rPr>
          <w:rFonts w:ascii="Calibre Light" w:hAnsi="Calibre Light"/>
          <w:sz w:val="24"/>
          <w:szCs w:val="24"/>
        </w:rPr>
        <w:t>opportunities for community life, social support, relationship</w:t>
      </w:r>
      <w:r w:rsidR="0062604D" w:rsidRPr="004C1AF6">
        <w:rPr>
          <w:rFonts w:ascii="Calibre Light" w:hAnsi="Calibre Light"/>
          <w:sz w:val="24"/>
          <w:szCs w:val="24"/>
        </w:rPr>
        <w:t xml:space="preserve">s </w:t>
      </w:r>
      <w:r w:rsidR="006C206E" w:rsidRPr="004C1AF6">
        <w:rPr>
          <w:rFonts w:ascii="Calibre Light" w:hAnsi="Calibre Light"/>
          <w:sz w:val="24"/>
          <w:szCs w:val="24"/>
        </w:rPr>
        <w:t>between neighbours</w:t>
      </w:r>
      <w:r w:rsidRPr="004C1AF6">
        <w:rPr>
          <w:rFonts w:ascii="Calibre Light" w:hAnsi="Calibre Light"/>
          <w:sz w:val="24"/>
          <w:szCs w:val="24"/>
        </w:rPr>
        <w:t>, trust</w:t>
      </w:r>
      <w:r w:rsidR="00113E36" w:rsidRPr="004C1AF6">
        <w:rPr>
          <w:rFonts w:ascii="Calibre Light" w:hAnsi="Calibre Light"/>
          <w:sz w:val="24"/>
          <w:szCs w:val="24"/>
        </w:rPr>
        <w:t xml:space="preserve"> and</w:t>
      </w:r>
      <w:r w:rsidRPr="004C1AF6">
        <w:rPr>
          <w:rFonts w:ascii="Calibre Light" w:hAnsi="Calibre Light"/>
          <w:sz w:val="24"/>
          <w:szCs w:val="24"/>
        </w:rPr>
        <w:t xml:space="preserve"> social cohesion</w:t>
      </w:r>
      <w:r w:rsidR="00113E36" w:rsidRPr="004C1AF6">
        <w:rPr>
          <w:rFonts w:ascii="Calibre Light" w:hAnsi="Calibre Light"/>
          <w:sz w:val="24"/>
          <w:szCs w:val="24"/>
        </w:rPr>
        <w:t>.</w:t>
      </w:r>
      <w:r w:rsidRPr="004C1AF6">
        <w:rPr>
          <w:rFonts w:ascii="Calibre Light" w:hAnsi="Calibre Light"/>
          <w:sz w:val="24"/>
          <w:szCs w:val="24"/>
        </w:rPr>
        <w:t xml:space="preserve"> </w:t>
      </w:r>
      <w:r w:rsidR="002948F0" w:rsidRPr="004C1AF6">
        <w:rPr>
          <w:rFonts w:ascii="Calibre Light" w:hAnsi="Calibre Light"/>
          <w:sz w:val="24"/>
          <w:szCs w:val="24"/>
          <w:lang w:eastAsia="en-GB"/>
        </w:rPr>
        <w:t xml:space="preserve">The importance of engagement, the number of volunteers and registered charities were consistently mentioned in this section. More work is being done on retrieving relevant data in this area, but northern parts of London received a </w:t>
      </w:r>
      <w:r w:rsidR="00B73D70" w:rsidRPr="004C1AF6">
        <w:rPr>
          <w:rFonts w:ascii="Calibre Light" w:hAnsi="Calibre Light"/>
          <w:sz w:val="24"/>
          <w:szCs w:val="24"/>
          <w:lang w:eastAsia="en-GB"/>
        </w:rPr>
        <w:t xml:space="preserve">weaker </w:t>
      </w:r>
      <w:r w:rsidR="002948F0" w:rsidRPr="004C1AF6">
        <w:rPr>
          <w:rFonts w:ascii="Calibre Light" w:hAnsi="Calibre Light"/>
          <w:sz w:val="24"/>
          <w:szCs w:val="24"/>
          <w:lang w:eastAsia="en-GB"/>
        </w:rPr>
        <w:t xml:space="preserve">score </w:t>
      </w:r>
      <w:r w:rsidR="00B73D70" w:rsidRPr="004C1AF6">
        <w:rPr>
          <w:rFonts w:ascii="Calibre Light" w:hAnsi="Calibre Light"/>
          <w:sz w:val="24"/>
          <w:szCs w:val="24"/>
          <w:lang w:eastAsia="en-GB"/>
        </w:rPr>
        <w:t>compared to the rest of the capital</w:t>
      </w:r>
      <w:r w:rsidR="002948F0" w:rsidRPr="004C1AF6">
        <w:rPr>
          <w:rFonts w:ascii="Calibre Light" w:hAnsi="Calibre Light"/>
          <w:sz w:val="24"/>
          <w:szCs w:val="24"/>
          <w:lang w:eastAsia="en-GB"/>
        </w:rPr>
        <w:t xml:space="preserve">. </w:t>
      </w:r>
    </w:p>
    <w:p w14:paraId="024B296B" w14:textId="77777777" w:rsidR="00320EB1" w:rsidRPr="004C1AF6" w:rsidRDefault="00320EB1" w:rsidP="002948F0">
      <w:pPr>
        <w:pStyle w:val="NoSpacing"/>
        <w:rPr>
          <w:rFonts w:ascii="Calibre Light" w:hAnsi="Calibre Light"/>
          <w:sz w:val="24"/>
          <w:szCs w:val="24"/>
          <w:lang w:eastAsia="en-GB"/>
        </w:rPr>
      </w:pPr>
    </w:p>
    <w:p w14:paraId="2F48940D" w14:textId="123033C9" w:rsidR="002948F0" w:rsidRDefault="00320EB1" w:rsidP="002948F0">
      <w:pPr>
        <w:pStyle w:val="NoSpacing"/>
        <w:rPr>
          <w:rFonts w:ascii="Calibre Light" w:hAnsi="Calibre Light"/>
          <w:sz w:val="24"/>
          <w:szCs w:val="24"/>
        </w:rPr>
      </w:pPr>
      <w:r w:rsidRPr="004C1AF6">
        <w:rPr>
          <w:rFonts w:ascii="Calibre Light" w:hAnsi="Calibre Light"/>
          <w:sz w:val="24"/>
          <w:szCs w:val="24"/>
          <w:lang w:eastAsia="en-GB"/>
        </w:rPr>
        <w:t xml:space="preserve">The highest scoring areas included </w:t>
      </w:r>
      <w:r w:rsidR="00AC5CDD" w:rsidRPr="004C1AF6">
        <w:rPr>
          <w:rFonts w:ascii="Calibre Light" w:hAnsi="Calibre Light"/>
          <w:sz w:val="24"/>
          <w:szCs w:val="24"/>
          <w:lang w:eastAsia="en-GB"/>
        </w:rPr>
        <w:t>a patch of boroughs in the west (Ealing, Hounslow, Richmond Upon Thames)</w:t>
      </w:r>
      <w:r w:rsidR="002177B6" w:rsidRPr="004C1AF6">
        <w:rPr>
          <w:rFonts w:ascii="Calibre Light" w:hAnsi="Calibre Light"/>
          <w:sz w:val="24"/>
          <w:szCs w:val="24"/>
          <w:lang w:eastAsia="en-GB"/>
        </w:rPr>
        <w:t xml:space="preserve"> and east (Barking and Dagenham, Havering). </w:t>
      </w:r>
      <w:r w:rsidR="000B2F70" w:rsidRPr="004C1AF6">
        <w:rPr>
          <w:rFonts w:ascii="Calibre Light" w:hAnsi="Calibre Light"/>
          <w:sz w:val="24"/>
          <w:szCs w:val="24"/>
          <w:lang w:eastAsia="en-GB"/>
        </w:rPr>
        <w:br/>
      </w:r>
      <w:r w:rsidR="000B2F70" w:rsidRPr="004C1AF6">
        <w:rPr>
          <w:rFonts w:ascii="Calibre Light" w:hAnsi="Calibre Light"/>
          <w:sz w:val="24"/>
          <w:szCs w:val="24"/>
          <w:lang w:eastAsia="en-GB"/>
        </w:rPr>
        <w:br/>
        <w:t xml:space="preserve">The report </w:t>
      </w:r>
      <w:r w:rsidR="0078364C" w:rsidRPr="004C1AF6">
        <w:rPr>
          <w:rFonts w:ascii="Calibre Light" w:hAnsi="Calibre Light"/>
          <w:sz w:val="24"/>
          <w:szCs w:val="24"/>
          <w:lang w:eastAsia="en-GB"/>
        </w:rPr>
        <w:t xml:space="preserve">includes case studies such as Newham Food </w:t>
      </w:r>
      <w:r w:rsidR="00E46458" w:rsidRPr="004C1AF6">
        <w:rPr>
          <w:rFonts w:ascii="Calibre Light" w:hAnsi="Calibre Light"/>
          <w:sz w:val="24"/>
          <w:szCs w:val="24"/>
          <w:lang w:eastAsia="en-GB"/>
        </w:rPr>
        <w:t>B</w:t>
      </w:r>
      <w:r w:rsidR="0078364C" w:rsidRPr="004C1AF6">
        <w:rPr>
          <w:rFonts w:ascii="Calibre Light" w:hAnsi="Calibre Light"/>
          <w:sz w:val="24"/>
          <w:szCs w:val="24"/>
          <w:lang w:eastAsia="en-GB"/>
        </w:rPr>
        <w:t>anks</w:t>
      </w:r>
      <w:r w:rsidR="00E46458" w:rsidRPr="004C1AF6">
        <w:rPr>
          <w:rFonts w:ascii="Calibre Light" w:hAnsi="Calibre Light"/>
          <w:sz w:val="24"/>
          <w:szCs w:val="24"/>
          <w:lang w:eastAsia="en-GB"/>
        </w:rPr>
        <w:t xml:space="preserve">. </w:t>
      </w:r>
      <w:r w:rsidR="0078364C" w:rsidRPr="004C1AF6">
        <w:rPr>
          <w:rFonts w:ascii="Calibre Light" w:hAnsi="Calibre Light"/>
          <w:sz w:val="24"/>
          <w:szCs w:val="24"/>
          <w:lang w:eastAsia="en-GB"/>
        </w:rPr>
        <w:t xml:space="preserve"> </w:t>
      </w:r>
      <w:r w:rsidR="00243A5F" w:rsidRPr="004C1AF6">
        <w:rPr>
          <w:rFonts w:ascii="Calibre Light" w:hAnsi="Calibre Light"/>
          <w:sz w:val="24"/>
          <w:szCs w:val="24"/>
          <w:lang w:eastAsia="en-GB"/>
        </w:rPr>
        <w:t>Food banks</w:t>
      </w:r>
      <w:r w:rsidR="005C2064" w:rsidRPr="004C1AF6">
        <w:rPr>
          <w:rFonts w:ascii="Calibre Light" w:hAnsi="Calibre Light"/>
          <w:sz w:val="24"/>
          <w:szCs w:val="24"/>
          <w:lang w:eastAsia="en-GB"/>
        </w:rPr>
        <w:t xml:space="preserve"> highlight the complexities of the data used; they</w:t>
      </w:r>
      <w:r w:rsidR="00243A5F" w:rsidRPr="004C1AF6">
        <w:rPr>
          <w:rFonts w:ascii="Calibre Light" w:hAnsi="Calibre Light"/>
          <w:sz w:val="24"/>
          <w:szCs w:val="24"/>
          <w:lang w:eastAsia="en-GB"/>
        </w:rPr>
        <w:t xml:space="preserve"> tend to represent i</w:t>
      </w:r>
      <w:r w:rsidR="00E46458" w:rsidRPr="004C1AF6">
        <w:rPr>
          <w:rFonts w:ascii="Calibre Light" w:hAnsi="Calibre Light"/>
          <w:sz w:val="24"/>
          <w:szCs w:val="24"/>
        </w:rPr>
        <w:t>ncreased needs alongside decreased support</w:t>
      </w:r>
      <w:r w:rsidR="00AB4FD4" w:rsidRPr="004C1AF6">
        <w:rPr>
          <w:rFonts w:ascii="Calibre Light" w:hAnsi="Calibre Light"/>
          <w:sz w:val="24"/>
          <w:szCs w:val="24"/>
        </w:rPr>
        <w:t xml:space="preserve"> s</w:t>
      </w:r>
      <w:r w:rsidR="005C2064" w:rsidRPr="004C1AF6">
        <w:rPr>
          <w:rFonts w:ascii="Calibre Light" w:hAnsi="Calibre Light"/>
          <w:sz w:val="24"/>
          <w:szCs w:val="24"/>
        </w:rPr>
        <w:t xml:space="preserve">o reveal a strong sense of community but should not be needed as a </w:t>
      </w:r>
      <w:r w:rsidR="00CC4F85" w:rsidRPr="004C1AF6">
        <w:rPr>
          <w:rFonts w:ascii="Calibre Light" w:hAnsi="Calibre Light"/>
          <w:sz w:val="24"/>
          <w:szCs w:val="24"/>
        </w:rPr>
        <w:t>long-term</w:t>
      </w:r>
      <w:r w:rsidR="008B68DB" w:rsidRPr="004C1AF6">
        <w:rPr>
          <w:rFonts w:ascii="Calibre Light" w:hAnsi="Calibre Light"/>
          <w:sz w:val="24"/>
          <w:szCs w:val="24"/>
        </w:rPr>
        <w:t xml:space="preserve"> fixture</w:t>
      </w:r>
      <w:r w:rsidR="005C2064" w:rsidRPr="004C1AF6">
        <w:rPr>
          <w:rFonts w:ascii="Calibre Light" w:hAnsi="Calibre Light"/>
          <w:sz w:val="24"/>
          <w:szCs w:val="24"/>
        </w:rPr>
        <w:t xml:space="preserve">. </w:t>
      </w:r>
      <w:r w:rsidR="00E46458" w:rsidRPr="004C1AF6">
        <w:rPr>
          <w:rFonts w:ascii="Calibre Light" w:hAnsi="Calibre Light"/>
          <w:sz w:val="24"/>
          <w:szCs w:val="24"/>
        </w:rPr>
        <w:t xml:space="preserve"> </w:t>
      </w:r>
    </w:p>
    <w:p w14:paraId="26EF75AC" w14:textId="77777777" w:rsidR="004C1AF6" w:rsidRPr="004C1AF6" w:rsidRDefault="004C1AF6" w:rsidP="002948F0">
      <w:pPr>
        <w:pStyle w:val="NoSpacing"/>
        <w:rPr>
          <w:rFonts w:ascii="Calibre Light" w:hAnsi="Calibre Light"/>
          <w:sz w:val="24"/>
          <w:szCs w:val="24"/>
          <w:lang w:eastAsia="en-GB"/>
        </w:rPr>
      </w:pPr>
    </w:p>
    <w:p w14:paraId="0E649330" w14:textId="77777777" w:rsidR="002948F0" w:rsidRPr="004C1AF6" w:rsidRDefault="002948F0" w:rsidP="002948F0">
      <w:pPr>
        <w:pStyle w:val="NoSpacing"/>
        <w:rPr>
          <w:rFonts w:ascii="Calibre Light" w:hAnsi="Calibre Light"/>
          <w:sz w:val="24"/>
          <w:szCs w:val="24"/>
          <w:lang w:eastAsia="en-GB"/>
        </w:rPr>
      </w:pPr>
    </w:p>
    <w:p w14:paraId="436F5175" w14:textId="269867EE" w:rsidR="002948F0" w:rsidRPr="004C1AF6" w:rsidRDefault="002948F0" w:rsidP="002948F0">
      <w:pPr>
        <w:pStyle w:val="NoSpacing"/>
        <w:numPr>
          <w:ilvl w:val="0"/>
          <w:numId w:val="4"/>
        </w:numPr>
        <w:rPr>
          <w:rFonts w:ascii="Calibre Light" w:hAnsi="Calibre Light"/>
          <w:b/>
          <w:bCs/>
          <w:sz w:val="24"/>
          <w:szCs w:val="24"/>
          <w:lang w:eastAsia="en-GB"/>
        </w:rPr>
      </w:pPr>
      <w:r w:rsidRPr="004C1AF6">
        <w:rPr>
          <w:rFonts w:ascii="Calibre Light" w:hAnsi="Calibre Light"/>
          <w:b/>
          <w:bCs/>
          <w:sz w:val="24"/>
          <w:szCs w:val="24"/>
          <w:lang w:eastAsia="en-GB"/>
        </w:rPr>
        <w:t xml:space="preserve">Democratic </w:t>
      </w:r>
      <w:r w:rsidR="006059EF" w:rsidRPr="004C1AF6">
        <w:rPr>
          <w:rFonts w:ascii="Calibre Light" w:hAnsi="Calibre Light"/>
          <w:b/>
          <w:bCs/>
          <w:sz w:val="24"/>
          <w:szCs w:val="24"/>
          <w:lang w:eastAsia="en-GB"/>
        </w:rPr>
        <w:t>E</w:t>
      </w:r>
      <w:r w:rsidRPr="004C1AF6">
        <w:rPr>
          <w:rFonts w:ascii="Calibre Light" w:hAnsi="Calibre Light"/>
          <w:b/>
          <w:bCs/>
          <w:sz w:val="24"/>
          <w:szCs w:val="24"/>
          <w:lang w:eastAsia="en-GB"/>
        </w:rPr>
        <w:t xml:space="preserve">ngagement </w:t>
      </w:r>
    </w:p>
    <w:p w14:paraId="2094D81D" w14:textId="417CCFC5" w:rsidR="002948F0" w:rsidRPr="004C1AF6" w:rsidRDefault="00FE08FC" w:rsidP="002948F0">
      <w:pPr>
        <w:pStyle w:val="NoSpacing"/>
        <w:rPr>
          <w:rFonts w:ascii="Calibre Light" w:hAnsi="Calibre Light"/>
          <w:sz w:val="24"/>
          <w:szCs w:val="24"/>
          <w:lang w:eastAsia="en-GB"/>
        </w:rPr>
      </w:pPr>
      <w:r w:rsidRPr="004C1AF6">
        <w:rPr>
          <w:rFonts w:ascii="Calibre Light" w:hAnsi="Calibre Light"/>
          <w:sz w:val="24"/>
          <w:szCs w:val="24"/>
        </w:rPr>
        <w:t>This section cover</w:t>
      </w:r>
      <w:r w:rsidR="00CC4F85" w:rsidRPr="004C1AF6">
        <w:rPr>
          <w:rFonts w:ascii="Calibre Light" w:hAnsi="Calibre Light"/>
          <w:sz w:val="24"/>
          <w:szCs w:val="24"/>
        </w:rPr>
        <w:t>ed</w:t>
      </w:r>
      <w:r w:rsidRPr="004C1AF6">
        <w:rPr>
          <w:rFonts w:ascii="Calibre Light" w:hAnsi="Calibre Light"/>
          <w:sz w:val="24"/>
          <w:szCs w:val="24"/>
        </w:rPr>
        <w:t xml:space="preserve"> </w:t>
      </w:r>
      <w:r w:rsidR="007732D1" w:rsidRPr="004C1AF6">
        <w:rPr>
          <w:rFonts w:ascii="Calibre Light" w:hAnsi="Calibre Light"/>
          <w:sz w:val="24"/>
          <w:szCs w:val="24"/>
        </w:rPr>
        <w:t xml:space="preserve">institutional trust, accessible </w:t>
      </w:r>
      <w:proofErr w:type="gramStart"/>
      <w:r w:rsidR="007732D1" w:rsidRPr="004C1AF6">
        <w:rPr>
          <w:rFonts w:ascii="Calibre Light" w:hAnsi="Calibre Light"/>
          <w:sz w:val="24"/>
          <w:szCs w:val="24"/>
        </w:rPr>
        <w:t>engagement</w:t>
      </w:r>
      <w:proofErr w:type="gramEnd"/>
      <w:r w:rsidRPr="004C1AF6">
        <w:rPr>
          <w:rFonts w:ascii="Calibre Light" w:hAnsi="Calibre Light"/>
          <w:sz w:val="24"/>
          <w:szCs w:val="24"/>
        </w:rPr>
        <w:t xml:space="preserve"> and</w:t>
      </w:r>
      <w:r w:rsidR="007732D1" w:rsidRPr="004C1AF6">
        <w:rPr>
          <w:rFonts w:ascii="Calibre Light" w:hAnsi="Calibre Light"/>
          <w:sz w:val="24"/>
          <w:szCs w:val="24"/>
        </w:rPr>
        <w:t xml:space="preserve"> civic responsibility. </w:t>
      </w:r>
      <w:r w:rsidRPr="004C1AF6">
        <w:rPr>
          <w:rFonts w:ascii="Calibre Light" w:hAnsi="Calibre Light"/>
          <w:sz w:val="24"/>
          <w:szCs w:val="24"/>
        </w:rPr>
        <w:t>This is</w:t>
      </w:r>
      <w:r w:rsidR="007732D1" w:rsidRPr="004C1AF6">
        <w:rPr>
          <w:rFonts w:ascii="Calibre Light" w:hAnsi="Calibre Light"/>
          <w:sz w:val="24"/>
          <w:szCs w:val="24"/>
        </w:rPr>
        <w:t xml:space="preserve"> </w:t>
      </w:r>
      <w:r w:rsidR="002D01F0" w:rsidRPr="004C1AF6">
        <w:rPr>
          <w:rFonts w:ascii="Calibre Light" w:hAnsi="Calibre Light"/>
          <w:sz w:val="24"/>
          <w:szCs w:val="24"/>
        </w:rPr>
        <w:t xml:space="preserve">also an </w:t>
      </w:r>
      <w:r w:rsidR="007732D1" w:rsidRPr="004C1AF6">
        <w:rPr>
          <w:rFonts w:ascii="Calibre Light" w:hAnsi="Calibre Light"/>
          <w:sz w:val="24"/>
          <w:szCs w:val="24"/>
        </w:rPr>
        <w:t xml:space="preserve">area where it is hard to gather robust data – </w:t>
      </w:r>
      <w:proofErr w:type="spellStart"/>
      <w:proofErr w:type="gramStart"/>
      <w:r w:rsidR="007732D1" w:rsidRPr="004C1AF6">
        <w:rPr>
          <w:rFonts w:ascii="Calibre Light" w:hAnsi="Calibre Light"/>
          <w:sz w:val="24"/>
          <w:szCs w:val="24"/>
        </w:rPr>
        <w:t>e,g</w:t>
      </w:r>
      <w:proofErr w:type="spellEnd"/>
      <w:r w:rsidR="00113E36" w:rsidRPr="004C1AF6">
        <w:rPr>
          <w:rFonts w:ascii="Calibre Light" w:hAnsi="Calibre Light"/>
          <w:sz w:val="24"/>
          <w:szCs w:val="24"/>
        </w:rPr>
        <w:t>.</w:t>
      </w:r>
      <w:proofErr w:type="gramEnd"/>
      <w:r w:rsidR="007732D1" w:rsidRPr="004C1AF6">
        <w:rPr>
          <w:rFonts w:ascii="Calibre Light" w:hAnsi="Calibre Light"/>
          <w:sz w:val="24"/>
          <w:szCs w:val="24"/>
        </w:rPr>
        <w:t xml:space="preserve"> level of access to democratic education</w:t>
      </w:r>
      <w:r w:rsidR="002D01F0" w:rsidRPr="004C1AF6">
        <w:rPr>
          <w:rFonts w:ascii="Calibre Light" w:hAnsi="Calibre Light"/>
          <w:sz w:val="24"/>
          <w:szCs w:val="24"/>
        </w:rPr>
        <w:t xml:space="preserve"> and perception of collective responsibility.</w:t>
      </w:r>
      <w:r w:rsidR="007732D1" w:rsidRPr="004C1AF6">
        <w:rPr>
          <w:rFonts w:ascii="Calibre Light" w:hAnsi="Calibre Light"/>
          <w:b/>
          <w:bCs/>
          <w:sz w:val="24"/>
          <w:szCs w:val="24"/>
        </w:rPr>
        <w:t xml:space="preserve"> </w:t>
      </w:r>
      <w:r w:rsidR="002948F0" w:rsidRPr="004C1AF6">
        <w:rPr>
          <w:rFonts w:ascii="Calibre Light" w:hAnsi="Calibre Light"/>
          <w:sz w:val="24"/>
          <w:szCs w:val="24"/>
          <w:lang w:eastAsia="en-GB"/>
        </w:rPr>
        <w:t>There was no pattern in the data and results were broadly mixed across London. One recurring co</w:t>
      </w:r>
      <w:r w:rsidR="00CC4F85" w:rsidRPr="004C1AF6">
        <w:rPr>
          <w:rFonts w:ascii="Calibre Light" w:hAnsi="Calibre Light"/>
          <w:sz w:val="24"/>
          <w:szCs w:val="24"/>
          <w:lang w:eastAsia="en-GB"/>
        </w:rPr>
        <w:t>ncern</w:t>
      </w:r>
      <w:r w:rsidR="002948F0" w:rsidRPr="004C1AF6">
        <w:rPr>
          <w:rFonts w:ascii="Calibre Light" w:hAnsi="Calibre Light"/>
          <w:sz w:val="24"/>
          <w:szCs w:val="24"/>
          <w:lang w:eastAsia="en-GB"/>
        </w:rPr>
        <w:t xml:space="preserve"> </w:t>
      </w:r>
      <w:r w:rsidR="00A708BB" w:rsidRPr="004C1AF6">
        <w:rPr>
          <w:rFonts w:ascii="Calibre Light" w:hAnsi="Calibre Light"/>
          <w:sz w:val="24"/>
          <w:szCs w:val="24"/>
          <w:lang w:eastAsia="en-GB"/>
        </w:rPr>
        <w:t xml:space="preserve">within the surveys </w:t>
      </w:r>
      <w:r w:rsidR="002948F0" w:rsidRPr="004C1AF6">
        <w:rPr>
          <w:rFonts w:ascii="Calibre Light" w:hAnsi="Calibre Light"/>
          <w:sz w:val="24"/>
          <w:szCs w:val="24"/>
          <w:lang w:eastAsia="en-GB"/>
        </w:rPr>
        <w:t xml:space="preserve">was how governments would receive </w:t>
      </w:r>
      <w:r w:rsidR="00A708BB" w:rsidRPr="004C1AF6">
        <w:rPr>
          <w:rFonts w:ascii="Calibre Light" w:hAnsi="Calibre Light"/>
          <w:sz w:val="24"/>
          <w:szCs w:val="24"/>
          <w:lang w:eastAsia="en-GB"/>
        </w:rPr>
        <w:t>a</w:t>
      </w:r>
      <w:r w:rsidR="002948F0" w:rsidRPr="004C1AF6">
        <w:rPr>
          <w:rFonts w:ascii="Calibre Light" w:hAnsi="Calibre Light"/>
          <w:sz w:val="24"/>
          <w:szCs w:val="24"/>
          <w:lang w:eastAsia="en-GB"/>
        </w:rPr>
        <w:t xml:space="preserve"> desire to be engaged</w:t>
      </w:r>
      <w:r w:rsidR="00170C13" w:rsidRPr="004C1AF6">
        <w:rPr>
          <w:rFonts w:ascii="Calibre Light" w:hAnsi="Calibre Light"/>
          <w:sz w:val="24"/>
          <w:szCs w:val="24"/>
          <w:lang w:eastAsia="en-GB"/>
        </w:rPr>
        <w:t xml:space="preserve"> in local decision making. </w:t>
      </w:r>
      <w:r w:rsidR="002F66EE" w:rsidRPr="004C1AF6">
        <w:rPr>
          <w:rFonts w:ascii="Calibre Light" w:hAnsi="Calibre Light"/>
          <w:sz w:val="24"/>
          <w:szCs w:val="24"/>
          <w:lang w:eastAsia="en-GB"/>
        </w:rPr>
        <w:t xml:space="preserve">There were different ways of looking at what a </w:t>
      </w:r>
      <w:r w:rsidR="00784FFB" w:rsidRPr="004C1AF6">
        <w:rPr>
          <w:rFonts w:ascii="Calibre Light" w:hAnsi="Calibre Light"/>
          <w:sz w:val="24"/>
          <w:szCs w:val="24"/>
          <w:lang w:eastAsia="en-GB"/>
        </w:rPr>
        <w:t xml:space="preserve">strong score means; </w:t>
      </w:r>
      <w:r w:rsidR="00E9285D" w:rsidRPr="004C1AF6">
        <w:rPr>
          <w:rFonts w:ascii="Calibre Light" w:hAnsi="Calibre Light"/>
          <w:sz w:val="24"/>
          <w:szCs w:val="24"/>
          <w:lang w:eastAsia="en-GB"/>
        </w:rPr>
        <w:t xml:space="preserve">high scores of institutional </w:t>
      </w:r>
      <w:proofErr w:type="gramStart"/>
      <w:r w:rsidR="00E9285D" w:rsidRPr="004C1AF6">
        <w:rPr>
          <w:rFonts w:ascii="Calibre Light" w:hAnsi="Calibre Light"/>
          <w:sz w:val="24"/>
          <w:szCs w:val="24"/>
          <w:lang w:eastAsia="en-GB"/>
        </w:rPr>
        <w:t>trust</w:t>
      </w:r>
      <w:proofErr w:type="gramEnd"/>
      <w:r w:rsidR="00E9285D" w:rsidRPr="004C1AF6">
        <w:rPr>
          <w:rFonts w:ascii="Calibre Light" w:hAnsi="Calibre Light"/>
          <w:sz w:val="24"/>
          <w:szCs w:val="24"/>
          <w:lang w:eastAsia="en-GB"/>
        </w:rPr>
        <w:t xml:space="preserve"> </w:t>
      </w:r>
      <w:r w:rsidR="002F66EE" w:rsidRPr="004C1AF6">
        <w:rPr>
          <w:rFonts w:ascii="Calibre Light" w:hAnsi="Calibre Light"/>
          <w:sz w:val="24"/>
          <w:szCs w:val="24"/>
          <w:lang w:eastAsia="en-GB"/>
        </w:rPr>
        <w:t>or</w:t>
      </w:r>
      <w:r w:rsidR="00E9285D" w:rsidRPr="004C1AF6">
        <w:rPr>
          <w:rFonts w:ascii="Calibre Light" w:hAnsi="Calibre Light"/>
          <w:sz w:val="24"/>
          <w:szCs w:val="24"/>
          <w:lang w:eastAsia="en-GB"/>
        </w:rPr>
        <w:t xml:space="preserve"> a high </w:t>
      </w:r>
      <w:r w:rsidR="00012300" w:rsidRPr="004C1AF6">
        <w:rPr>
          <w:rFonts w:ascii="Calibre Light" w:hAnsi="Calibre Light"/>
          <w:sz w:val="24"/>
          <w:szCs w:val="24"/>
          <w:lang w:eastAsia="en-GB"/>
        </w:rPr>
        <w:t>civic</w:t>
      </w:r>
      <w:r w:rsidR="00E9285D" w:rsidRPr="004C1AF6">
        <w:rPr>
          <w:rFonts w:ascii="Calibre Light" w:hAnsi="Calibre Light"/>
          <w:sz w:val="24"/>
          <w:szCs w:val="24"/>
          <w:lang w:eastAsia="en-GB"/>
        </w:rPr>
        <w:t xml:space="preserve"> responsibility driven by </w:t>
      </w:r>
      <w:r w:rsidR="00012300" w:rsidRPr="004C1AF6">
        <w:rPr>
          <w:rFonts w:ascii="Calibre Light" w:hAnsi="Calibre Light"/>
          <w:sz w:val="24"/>
          <w:szCs w:val="24"/>
          <w:lang w:eastAsia="en-GB"/>
        </w:rPr>
        <w:t>mutual aid groups</w:t>
      </w:r>
      <w:r w:rsidR="00CB7C48" w:rsidRPr="004C1AF6">
        <w:rPr>
          <w:rFonts w:ascii="Calibre Light" w:hAnsi="Calibre Light"/>
          <w:sz w:val="24"/>
          <w:szCs w:val="24"/>
          <w:lang w:eastAsia="en-GB"/>
        </w:rPr>
        <w:t>.</w:t>
      </w:r>
    </w:p>
    <w:p w14:paraId="387AEE3A" w14:textId="77777777" w:rsidR="00CB7C48" w:rsidRPr="004C1AF6" w:rsidRDefault="00CB7C48" w:rsidP="002948F0">
      <w:pPr>
        <w:pStyle w:val="NoSpacing"/>
        <w:rPr>
          <w:rFonts w:ascii="Calibre Light" w:hAnsi="Calibre Light"/>
          <w:sz w:val="24"/>
          <w:szCs w:val="24"/>
          <w:lang w:eastAsia="en-GB"/>
        </w:rPr>
      </w:pPr>
    </w:p>
    <w:p w14:paraId="2BBF56A9" w14:textId="77777777" w:rsidR="00782F85" w:rsidRDefault="00782F85" w:rsidP="002948F0">
      <w:pPr>
        <w:pStyle w:val="NoSpacing"/>
        <w:rPr>
          <w:rFonts w:ascii="Calibre Light" w:hAnsi="Calibre Light"/>
          <w:sz w:val="24"/>
          <w:szCs w:val="24"/>
        </w:rPr>
      </w:pPr>
    </w:p>
    <w:p w14:paraId="4DBA55D9" w14:textId="2CAE09EB" w:rsidR="00CB7C48" w:rsidRDefault="00D07C4E" w:rsidP="002948F0">
      <w:pPr>
        <w:pStyle w:val="NoSpacing"/>
        <w:rPr>
          <w:rFonts w:ascii="Calibre Light" w:hAnsi="Calibre Light"/>
          <w:sz w:val="24"/>
          <w:szCs w:val="24"/>
        </w:rPr>
      </w:pPr>
      <w:r w:rsidRPr="004C1AF6">
        <w:rPr>
          <w:rFonts w:ascii="Calibre Light" w:hAnsi="Calibre Light"/>
          <w:sz w:val="24"/>
          <w:szCs w:val="24"/>
        </w:rPr>
        <w:t>The case study on inner London Boroughs</w:t>
      </w:r>
      <w:r w:rsidR="008914C8" w:rsidRPr="004C1AF6">
        <w:rPr>
          <w:rFonts w:ascii="Calibre Light" w:hAnsi="Calibre Light"/>
          <w:sz w:val="24"/>
          <w:szCs w:val="24"/>
        </w:rPr>
        <w:t xml:space="preserve"> suggests they </w:t>
      </w:r>
      <w:r w:rsidR="002F66EE" w:rsidRPr="004C1AF6">
        <w:rPr>
          <w:rFonts w:ascii="Calibre Light" w:hAnsi="Calibre Light"/>
          <w:sz w:val="24"/>
          <w:szCs w:val="24"/>
        </w:rPr>
        <w:t xml:space="preserve">generally </w:t>
      </w:r>
      <w:r w:rsidR="008914C8" w:rsidRPr="004C1AF6">
        <w:rPr>
          <w:rFonts w:ascii="Calibre Light" w:hAnsi="Calibre Light"/>
          <w:sz w:val="24"/>
          <w:szCs w:val="24"/>
        </w:rPr>
        <w:t xml:space="preserve">have a </w:t>
      </w:r>
      <w:r w:rsidR="00CB7C48" w:rsidRPr="004C1AF6">
        <w:rPr>
          <w:rFonts w:ascii="Calibre Light" w:hAnsi="Calibre Light"/>
          <w:sz w:val="24"/>
          <w:szCs w:val="24"/>
        </w:rPr>
        <w:t>lower voter registration and turnout, which consequently contribute</w:t>
      </w:r>
      <w:r w:rsidR="002F66EE" w:rsidRPr="004C1AF6">
        <w:rPr>
          <w:rFonts w:ascii="Calibre Light" w:hAnsi="Calibre Light"/>
          <w:sz w:val="24"/>
          <w:szCs w:val="24"/>
        </w:rPr>
        <w:t>s</w:t>
      </w:r>
      <w:r w:rsidR="00CB7C48" w:rsidRPr="004C1AF6">
        <w:rPr>
          <w:rFonts w:ascii="Calibre Light" w:hAnsi="Calibre Light"/>
          <w:sz w:val="24"/>
          <w:szCs w:val="24"/>
        </w:rPr>
        <w:t xml:space="preserve"> to low scores of institutional </w:t>
      </w:r>
      <w:proofErr w:type="gramStart"/>
      <w:r w:rsidR="00CB7C48" w:rsidRPr="004C1AF6">
        <w:rPr>
          <w:rFonts w:ascii="Calibre Light" w:hAnsi="Calibre Light"/>
          <w:sz w:val="24"/>
          <w:szCs w:val="24"/>
        </w:rPr>
        <w:t>trust</w:t>
      </w:r>
      <w:proofErr w:type="gramEnd"/>
      <w:r w:rsidR="008914C8" w:rsidRPr="004C1AF6">
        <w:rPr>
          <w:rFonts w:ascii="Calibre Light" w:hAnsi="Calibre Light"/>
          <w:sz w:val="24"/>
          <w:szCs w:val="24"/>
        </w:rPr>
        <w:t xml:space="preserve">, with </w:t>
      </w:r>
      <w:r w:rsidR="00850E52" w:rsidRPr="004C1AF6">
        <w:rPr>
          <w:rFonts w:ascii="Calibre Light" w:hAnsi="Calibre Light"/>
          <w:sz w:val="24"/>
          <w:szCs w:val="24"/>
        </w:rPr>
        <w:t xml:space="preserve">particular focus on </w:t>
      </w:r>
      <w:r w:rsidR="006B4771" w:rsidRPr="004C1AF6">
        <w:rPr>
          <w:rFonts w:ascii="Calibre Light" w:hAnsi="Calibre Light"/>
          <w:sz w:val="24"/>
          <w:szCs w:val="24"/>
        </w:rPr>
        <w:t>Stamford Hill West and Springfield in Hackney and Whitechapel</w:t>
      </w:r>
      <w:r w:rsidR="00850E52" w:rsidRPr="004C1AF6">
        <w:rPr>
          <w:rFonts w:ascii="Calibre Light" w:hAnsi="Calibre Light"/>
          <w:sz w:val="24"/>
          <w:szCs w:val="24"/>
        </w:rPr>
        <w:t>. Despite this</w:t>
      </w:r>
      <w:r w:rsidR="002F66EE" w:rsidRPr="004C1AF6">
        <w:rPr>
          <w:rFonts w:ascii="Calibre Light" w:hAnsi="Calibre Light"/>
          <w:sz w:val="24"/>
          <w:szCs w:val="24"/>
        </w:rPr>
        <w:t>,</w:t>
      </w:r>
      <w:r w:rsidR="00850E52" w:rsidRPr="004C1AF6">
        <w:rPr>
          <w:rFonts w:ascii="Calibre Light" w:hAnsi="Calibre Light"/>
          <w:sz w:val="24"/>
          <w:szCs w:val="24"/>
        </w:rPr>
        <w:t xml:space="preserve"> some inner areas </w:t>
      </w:r>
      <w:r w:rsidR="001B140B" w:rsidRPr="004C1AF6">
        <w:rPr>
          <w:rFonts w:ascii="Calibre Light" w:hAnsi="Calibre Light"/>
          <w:sz w:val="24"/>
          <w:szCs w:val="24"/>
        </w:rPr>
        <w:t xml:space="preserve">got some of the highest scores, such as Bow East </w:t>
      </w:r>
      <w:r w:rsidR="00320EB1" w:rsidRPr="004C1AF6">
        <w:rPr>
          <w:rFonts w:ascii="Calibre Light" w:hAnsi="Calibre Light"/>
          <w:sz w:val="24"/>
          <w:szCs w:val="24"/>
        </w:rPr>
        <w:t xml:space="preserve">and Lansbury. </w:t>
      </w:r>
    </w:p>
    <w:p w14:paraId="55BED2F1" w14:textId="77777777" w:rsidR="004C1AF6" w:rsidRPr="004C1AF6" w:rsidRDefault="004C1AF6" w:rsidP="002948F0">
      <w:pPr>
        <w:pStyle w:val="NoSpacing"/>
        <w:rPr>
          <w:rFonts w:ascii="Calibre Light" w:hAnsi="Calibre Light"/>
          <w:sz w:val="24"/>
          <w:szCs w:val="24"/>
          <w:lang w:eastAsia="en-GB"/>
        </w:rPr>
      </w:pPr>
    </w:p>
    <w:p w14:paraId="09338583" w14:textId="77777777" w:rsidR="002948F0" w:rsidRPr="004C1AF6" w:rsidRDefault="002948F0" w:rsidP="002948F0">
      <w:pPr>
        <w:pStyle w:val="NoSpacing"/>
        <w:rPr>
          <w:rFonts w:ascii="Calibre Light" w:hAnsi="Calibre Light"/>
          <w:sz w:val="24"/>
          <w:szCs w:val="24"/>
          <w:lang w:eastAsia="en-GB"/>
        </w:rPr>
      </w:pPr>
    </w:p>
    <w:p w14:paraId="1895B62E" w14:textId="65C8DDC7" w:rsidR="002948F0" w:rsidRPr="004C1AF6" w:rsidRDefault="002948F0" w:rsidP="002948F0">
      <w:pPr>
        <w:pStyle w:val="NoSpacing"/>
        <w:numPr>
          <w:ilvl w:val="0"/>
          <w:numId w:val="4"/>
        </w:numPr>
        <w:rPr>
          <w:rFonts w:ascii="Calibre Light" w:hAnsi="Calibre Light"/>
          <w:b/>
          <w:bCs/>
          <w:sz w:val="24"/>
          <w:szCs w:val="24"/>
          <w:lang w:eastAsia="en-GB"/>
        </w:rPr>
      </w:pPr>
      <w:r w:rsidRPr="004C1AF6">
        <w:rPr>
          <w:rFonts w:ascii="Calibre Light" w:hAnsi="Calibre Light"/>
          <w:b/>
          <w:bCs/>
          <w:sz w:val="24"/>
          <w:szCs w:val="24"/>
          <w:lang w:eastAsia="en-GB"/>
        </w:rPr>
        <w:t xml:space="preserve">Public and </w:t>
      </w:r>
      <w:r w:rsidR="006059EF" w:rsidRPr="004C1AF6">
        <w:rPr>
          <w:rFonts w:ascii="Calibre Light" w:hAnsi="Calibre Light"/>
          <w:b/>
          <w:bCs/>
          <w:sz w:val="24"/>
          <w:szCs w:val="24"/>
          <w:lang w:eastAsia="en-GB"/>
        </w:rPr>
        <w:t>S</w:t>
      </w:r>
      <w:r w:rsidRPr="004C1AF6">
        <w:rPr>
          <w:rFonts w:ascii="Calibre Light" w:hAnsi="Calibre Light"/>
          <w:b/>
          <w:bCs/>
          <w:sz w:val="24"/>
          <w:szCs w:val="24"/>
          <w:lang w:eastAsia="en-GB"/>
        </w:rPr>
        <w:t xml:space="preserve">ocial </w:t>
      </w:r>
      <w:r w:rsidR="006059EF" w:rsidRPr="004C1AF6">
        <w:rPr>
          <w:rFonts w:ascii="Calibre Light" w:hAnsi="Calibre Light"/>
          <w:b/>
          <w:bCs/>
          <w:sz w:val="24"/>
          <w:szCs w:val="24"/>
          <w:lang w:eastAsia="en-GB"/>
        </w:rPr>
        <w:t>I</w:t>
      </w:r>
      <w:r w:rsidRPr="004C1AF6">
        <w:rPr>
          <w:rFonts w:ascii="Calibre Light" w:hAnsi="Calibre Light"/>
          <w:b/>
          <w:bCs/>
          <w:sz w:val="24"/>
          <w:szCs w:val="24"/>
          <w:lang w:eastAsia="en-GB"/>
        </w:rPr>
        <w:t xml:space="preserve">nfrastructure </w:t>
      </w:r>
    </w:p>
    <w:p w14:paraId="212BFE21" w14:textId="77777777" w:rsidR="00B32239" w:rsidRDefault="00113E36" w:rsidP="002948F0">
      <w:pPr>
        <w:pStyle w:val="NoSpacing"/>
        <w:rPr>
          <w:rFonts w:ascii="Calibre Light" w:hAnsi="Calibre Light"/>
          <w:sz w:val="24"/>
          <w:szCs w:val="24"/>
          <w:lang w:eastAsia="en-GB"/>
        </w:rPr>
      </w:pPr>
      <w:r w:rsidRPr="004C1AF6">
        <w:rPr>
          <w:rFonts w:ascii="Calibre Light" w:hAnsi="Calibre Light"/>
          <w:sz w:val="24"/>
          <w:szCs w:val="24"/>
        </w:rPr>
        <w:t xml:space="preserve">This section covers </w:t>
      </w:r>
      <w:r w:rsidR="007732D1" w:rsidRPr="004C1AF6">
        <w:rPr>
          <w:rFonts w:ascii="Calibre Light" w:hAnsi="Calibre Light"/>
          <w:sz w:val="24"/>
          <w:szCs w:val="24"/>
        </w:rPr>
        <w:t>everything around services</w:t>
      </w:r>
      <w:r w:rsidRPr="004C1AF6">
        <w:rPr>
          <w:rFonts w:ascii="Calibre Light" w:hAnsi="Calibre Light"/>
          <w:sz w:val="24"/>
          <w:szCs w:val="24"/>
        </w:rPr>
        <w:t xml:space="preserve"> and</w:t>
      </w:r>
      <w:r w:rsidR="007732D1" w:rsidRPr="004C1AF6">
        <w:rPr>
          <w:rFonts w:ascii="Calibre Light" w:hAnsi="Calibre Light"/>
          <w:sz w:val="24"/>
          <w:szCs w:val="24"/>
        </w:rPr>
        <w:t xml:space="preserve"> spaces that makes the above themes possible – </w:t>
      </w:r>
      <w:r w:rsidR="005C3E53" w:rsidRPr="004C1AF6">
        <w:rPr>
          <w:rFonts w:ascii="Calibre Light" w:hAnsi="Calibre Light"/>
          <w:sz w:val="24"/>
          <w:szCs w:val="24"/>
        </w:rPr>
        <w:t xml:space="preserve">public services, </w:t>
      </w:r>
      <w:r w:rsidR="007732D1" w:rsidRPr="004C1AF6">
        <w:rPr>
          <w:rFonts w:ascii="Calibre Light" w:hAnsi="Calibre Light"/>
          <w:sz w:val="24"/>
          <w:szCs w:val="24"/>
        </w:rPr>
        <w:t xml:space="preserve">financial resources, </w:t>
      </w:r>
      <w:r w:rsidR="005C3E53" w:rsidRPr="004C1AF6">
        <w:rPr>
          <w:rFonts w:ascii="Calibre Light" w:hAnsi="Calibre Light"/>
          <w:sz w:val="24"/>
          <w:szCs w:val="24"/>
        </w:rPr>
        <w:t xml:space="preserve">access to </w:t>
      </w:r>
      <w:r w:rsidR="007732D1" w:rsidRPr="004C1AF6">
        <w:rPr>
          <w:rFonts w:ascii="Calibre Light" w:hAnsi="Calibre Light"/>
          <w:sz w:val="24"/>
          <w:szCs w:val="24"/>
        </w:rPr>
        <w:t>green spaces</w:t>
      </w:r>
      <w:r w:rsidRPr="004C1AF6">
        <w:rPr>
          <w:rFonts w:ascii="Calibre Light" w:hAnsi="Calibre Light"/>
          <w:sz w:val="24"/>
          <w:szCs w:val="24"/>
        </w:rPr>
        <w:t xml:space="preserve"> etc.</w:t>
      </w:r>
      <w:r w:rsidRPr="004C1AF6">
        <w:rPr>
          <w:rFonts w:ascii="Calibre Light" w:hAnsi="Calibre Light"/>
          <w:b/>
          <w:bCs/>
        </w:rPr>
        <w:t xml:space="preserve"> </w:t>
      </w:r>
      <w:r w:rsidR="007732D1" w:rsidRPr="004C1AF6">
        <w:rPr>
          <w:rFonts w:ascii="Calibre Light" w:hAnsi="Calibre Light"/>
          <w:b/>
          <w:bCs/>
        </w:rPr>
        <w:t xml:space="preserve"> </w:t>
      </w:r>
      <w:r w:rsidR="002948F0" w:rsidRPr="004C1AF6">
        <w:rPr>
          <w:rFonts w:ascii="Calibre Light" w:hAnsi="Calibre Light"/>
          <w:sz w:val="24"/>
          <w:szCs w:val="24"/>
          <w:lang w:eastAsia="en-GB"/>
        </w:rPr>
        <w:t>This was the easiest to measure area when it came to the data</w:t>
      </w:r>
      <w:r w:rsidR="00C55F33" w:rsidRPr="004C1AF6">
        <w:rPr>
          <w:rFonts w:ascii="Calibre Light" w:hAnsi="Calibre Light"/>
          <w:sz w:val="24"/>
          <w:szCs w:val="24"/>
          <w:lang w:eastAsia="en-GB"/>
        </w:rPr>
        <w:t xml:space="preserve">; number of libraries, new business survival rates, </w:t>
      </w:r>
      <w:r w:rsidR="003F1F3A" w:rsidRPr="004C1AF6">
        <w:rPr>
          <w:rFonts w:ascii="Calibre Light" w:hAnsi="Calibre Light"/>
          <w:sz w:val="24"/>
          <w:szCs w:val="24"/>
          <w:lang w:eastAsia="en-GB"/>
        </w:rPr>
        <w:t>healthy streets scorecard levels).</w:t>
      </w:r>
      <w:r w:rsidR="002948F0" w:rsidRPr="004C1AF6">
        <w:rPr>
          <w:rFonts w:ascii="Calibre Light" w:hAnsi="Calibre Light"/>
          <w:sz w:val="24"/>
          <w:szCs w:val="24"/>
          <w:lang w:eastAsia="en-GB"/>
        </w:rPr>
        <w:t xml:space="preserve"> </w:t>
      </w:r>
    </w:p>
    <w:p w14:paraId="1B9C71C9" w14:textId="77777777" w:rsidR="00B32239" w:rsidRDefault="00B32239" w:rsidP="002948F0">
      <w:pPr>
        <w:pStyle w:val="NoSpacing"/>
        <w:rPr>
          <w:rFonts w:ascii="Calibre Light" w:hAnsi="Calibre Light"/>
          <w:sz w:val="24"/>
          <w:szCs w:val="24"/>
          <w:lang w:eastAsia="en-GB"/>
        </w:rPr>
      </w:pPr>
    </w:p>
    <w:p w14:paraId="427AB00B" w14:textId="2FC109A9" w:rsidR="002948F0" w:rsidRPr="004C1AF6" w:rsidRDefault="002948F0" w:rsidP="002948F0">
      <w:pPr>
        <w:pStyle w:val="NoSpacing"/>
        <w:rPr>
          <w:rFonts w:ascii="Calibre Light" w:hAnsi="Calibre Light"/>
          <w:sz w:val="24"/>
          <w:szCs w:val="24"/>
          <w:lang w:eastAsia="en-GB"/>
        </w:rPr>
      </w:pPr>
      <w:r w:rsidRPr="004C1AF6">
        <w:rPr>
          <w:rFonts w:ascii="Calibre Light" w:hAnsi="Calibre Light"/>
          <w:sz w:val="24"/>
          <w:szCs w:val="24"/>
          <w:lang w:eastAsia="en-GB"/>
        </w:rPr>
        <w:t>Not surprisingly, provision was higher in the centre of London</w:t>
      </w:r>
      <w:r w:rsidR="007747D1" w:rsidRPr="004C1AF6">
        <w:rPr>
          <w:rFonts w:ascii="Calibre Light" w:hAnsi="Calibre Light"/>
          <w:sz w:val="24"/>
          <w:szCs w:val="24"/>
          <w:lang w:eastAsia="en-GB"/>
        </w:rPr>
        <w:t xml:space="preserve"> (Dulwich Village, Chelsea Riverside, Abbey Road in Westminster)</w:t>
      </w:r>
      <w:r w:rsidRPr="004C1AF6">
        <w:rPr>
          <w:rFonts w:ascii="Calibre Light" w:hAnsi="Calibre Light"/>
          <w:sz w:val="24"/>
          <w:szCs w:val="24"/>
          <w:lang w:eastAsia="en-GB"/>
        </w:rPr>
        <w:t xml:space="preserve">. </w:t>
      </w:r>
      <w:r w:rsidR="007507AD" w:rsidRPr="004C1AF6">
        <w:rPr>
          <w:rFonts w:ascii="Calibre Light" w:hAnsi="Calibre Light"/>
          <w:sz w:val="24"/>
          <w:szCs w:val="24"/>
          <w:lang w:eastAsia="en-GB"/>
        </w:rPr>
        <w:t xml:space="preserve">Wards in outer boroughs </w:t>
      </w:r>
      <w:r w:rsidR="00EC0481" w:rsidRPr="004C1AF6">
        <w:rPr>
          <w:rFonts w:ascii="Calibre Light" w:hAnsi="Calibre Light"/>
          <w:sz w:val="24"/>
          <w:szCs w:val="24"/>
          <w:lang w:eastAsia="en-GB"/>
        </w:rPr>
        <w:t>tend to have fewer community centres and cultural spaces per capita</w:t>
      </w:r>
      <w:r w:rsidR="00937BED" w:rsidRPr="004C1AF6">
        <w:rPr>
          <w:rFonts w:ascii="Calibre Light" w:hAnsi="Calibre Light"/>
          <w:sz w:val="24"/>
          <w:szCs w:val="24"/>
          <w:lang w:eastAsia="en-GB"/>
        </w:rPr>
        <w:t xml:space="preserve">. </w:t>
      </w:r>
      <w:r w:rsidRPr="004C1AF6">
        <w:rPr>
          <w:rFonts w:ascii="Calibre Light" w:hAnsi="Calibre Light"/>
          <w:sz w:val="24"/>
          <w:szCs w:val="24"/>
          <w:lang w:eastAsia="en-GB"/>
        </w:rPr>
        <w:t xml:space="preserve">It was suggested that the data could be used as evidence of need in grant applications where necessary. </w:t>
      </w:r>
    </w:p>
    <w:p w14:paraId="77C06BB6" w14:textId="77777777" w:rsidR="002948F0" w:rsidRDefault="002948F0" w:rsidP="002948F0">
      <w:pPr>
        <w:pStyle w:val="NoSpacing"/>
        <w:rPr>
          <w:rFonts w:ascii="Calibre Light" w:hAnsi="Calibre Light"/>
          <w:sz w:val="24"/>
          <w:szCs w:val="24"/>
          <w:lang w:eastAsia="en-GB"/>
        </w:rPr>
      </w:pPr>
    </w:p>
    <w:p w14:paraId="5392AA45" w14:textId="77777777" w:rsidR="004C1AF6" w:rsidRDefault="004C1AF6" w:rsidP="002948F0">
      <w:pPr>
        <w:pStyle w:val="NoSpacing"/>
        <w:rPr>
          <w:rFonts w:ascii="Calibre Light" w:hAnsi="Calibre Light"/>
          <w:sz w:val="24"/>
          <w:szCs w:val="24"/>
          <w:lang w:eastAsia="en-GB"/>
        </w:rPr>
      </w:pPr>
    </w:p>
    <w:p w14:paraId="48E6DB01" w14:textId="6AED52C0" w:rsidR="002948F0" w:rsidRPr="00494F2E" w:rsidRDefault="002948F0" w:rsidP="002948F0">
      <w:pPr>
        <w:rPr>
          <w:rFonts w:ascii="Calibre Light" w:hAnsi="Calibre Light"/>
          <w:b w:val="0"/>
          <w:bCs w:val="0"/>
          <w:color w:val="auto"/>
          <w:sz w:val="24"/>
          <w:szCs w:val="24"/>
        </w:rPr>
      </w:pPr>
      <w:r w:rsidRPr="6D009837">
        <w:rPr>
          <w:rFonts w:ascii="Calibre Light" w:hAnsi="Calibre Light"/>
          <w:b w:val="0"/>
          <w:bCs w:val="0"/>
          <w:color w:val="auto"/>
          <w:sz w:val="24"/>
          <w:szCs w:val="24"/>
        </w:rPr>
        <w:t xml:space="preserve">Saved within the report are sources for data used across indicators which you can explore. The GLA would be interested to know about data funders collect that could contribute to the index and support some of the domains where there are data gaps for </w:t>
      </w:r>
      <w:r w:rsidR="00494F2E" w:rsidRPr="6D009837">
        <w:rPr>
          <w:rFonts w:ascii="Calibre Light" w:hAnsi="Calibre Light"/>
          <w:b w:val="0"/>
          <w:bCs w:val="0"/>
          <w:color w:val="auto"/>
          <w:sz w:val="24"/>
          <w:szCs w:val="24"/>
        </w:rPr>
        <w:t xml:space="preserve">the development of </w:t>
      </w:r>
      <w:r w:rsidRPr="6D009837">
        <w:rPr>
          <w:rFonts w:ascii="Calibre Light" w:hAnsi="Calibre Light"/>
          <w:b w:val="0"/>
          <w:bCs w:val="0"/>
          <w:color w:val="auto"/>
          <w:sz w:val="24"/>
          <w:szCs w:val="24"/>
        </w:rPr>
        <w:t>phase two</w:t>
      </w:r>
      <w:r w:rsidR="00494F2E" w:rsidRPr="6D009837">
        <w:rPr>
          <w:rFonts w:ascii="Calibre Light" w:hAnsi="Calibre Light"/>
          <w:b w:val="0"/>
          <w:bCs w:val="0"/>
          <w:color w:val="auto"/>
          <w:sz w:val="24"/>
          <w:szCs w:val="24"/>
        </w:rPr>
        <w:t xml:space="preserve"> of the project</w:t>
      </w:r>
      <w:r w:rsidRPr="6D009837">
        <w:rPr>
          <w:rFonts w:ascii="Calibre Light" w:hAnsi="Calibre Light"/>
          <w:b w:val="0"/>
          <w:bCs w:val="0"/>
          <w:color w:val="auto"/>
          <w:sz w:val="24"/>
          <w:szCs w:val="24"/>
        </w:rPr>
        <w:t xml:space="preserve">. </w:t>
      </w:r>
    </w:p>
    <w:p w14:paraId="5B6C9678" w14:textId="77777777" w:rsidR="002948F0" w:rsidRPr="00494F2E" w:rsidRDefault="002948F0" w:rsidP="002948F0">
      <w:pPr>
        <w:pStyle w:val="ListParagraph"/>
        <w:numPr>
          <w:ilvl w:val="0"/>
          <w:numId w:val="5"/>
        </w:numPr>
        <w:spacing w:after="0" w:line="240" w:lineRule="auto"/>
        <w:contextualSpacing w:val="0"/>
        <w:rPr>
          <w:rFonts w:ascii="Calibre Light" w:eastAsia="Times New Roman" w:hAnsi="Calibre Light"/>
          <w:b w:val="0"/>
          <w:bCs w:val="0"/>
          <w:color w:val="auto"/>
          <w:sz w:val="24"/>
          <w:szCs w:val="24"/>
        </w:rPr>
      </w:pPr>
      <w:r w:rsidRPr="00494F2E">
        <w:rPr>
          <w:rFonts w:ascii="Calibre Light" w:eastAsia="Times New Roman" w:hAnsi="Calibre Light"/>
          <w:b w:val="0"/>
          <w:bCs w:val="0"/>
          <w:color w:val="auto"/>
          <w:sz w:val="24"/>
          <w:szCs w:val="24"/>
        </w:rPr>
        <w:t>What data do you have?</w:t>
      </w:r>
    </w:p>
    <w:p w14:paraId="6FD56304" w14:textId="77777777" w:rsidR="002948F0" w:rsidRPr="00494F2E" w:rsidRDefault="002948F0" w:rsidP="002948F0">
      <w:pPr>
        <w:pStyle w:val="ListParagraph"/>
        <w:numPr>
          <w:ilvl w:val="0"/>
          <w:numId w:val="5"/>
        </w:numPr>
        <w:spacing w:after="0" w:line="240" w:lineRule="auto"/>
        <w:contextualSpacing w:val="0"/>
        <w:rPr>
          <w:rFonts w:ascii="Calibre Light" w:eastAsia="Times New Roman" w:hAnsi="Calibre Light"/>
          <w:b w:val="0"/>
          <w:bCs w:val="0"/>
          <w:color w:val="auto"/>
          <w:sz w:val="24"/>
          <w:szCs w:val="24"/>
        </w:rPr>
      </w:pPr>
      <w:r w:rsidRPr="00494F2E">
        <w:rPr>
          <w:rFonts w:ascii="Calibre Light" w:eastAsia="Times New Roman" w:hAnsi="Calibre Light"/>
          <w:b w:val="0"/>
          <w:bCs w:val="0"/>
          <w:color w:val="auto"/>
          <w:sz w:val="24"/>
          <w:szCs w:val="24"/>
        </w:rPr>
        <w:t>What’s the associated geography of this data (ward/borough level/pan-London or concentrated in area/s)?</w:t>
      </w:r>
    </w:p>
    <w:p w14:paraId="68448018" w14:textId="634DC358" w:rsidR="002948F0" w:rsidRPr="00494F2E" w:rsidRDefault="002948F0" w:rsidP="002948F0">
      <w:pPr>
        <w:pStyle w:val="ListParagraph"/>
        <w:numPr>
          <w:ilvl w:val="0"/>
          <w:numId w:val="5"/>
        </w:numPr>
        <w:spacing w:after="0" w:line="240" w:lineRule="auto"/>
        <w:contextualSpacing w:val="0"/>
        <w:rPr>
          <w:rFonts w:ascii="Calibre Light" w:eastAsia="Times New Roman" w:hAnsi="Calibre Light"/>
          <w:b w:val="0"/>
          <w:bCs w:val="0"/>
          <w:color w:val="auto"/>
          <w:sz w:val="24"/>
          <w:szCs w:val="24"/>
        </w:rPr>
      </w:pPr>
      <w:r w:rsidRPr="00494F2E">
        <w:rPr>
          <w:rFonts w:ascii="Calibre Light" w:eastAsia="Times New Roman" w:hAnsi="Calibre Light"/>
          <w:b w:val="0"/>
          <w:bCs w:val="0"/>
          <w:color w:val="auto"/>
          <w:sz w:val="24"/>
          <w:szCs w:val="24"/>
        </w:rPr>
        <w:t>How regularly is this data collected?</w:t>
      </w:r>
    </w:p>
    <w:p w14:paraId="507071B8" w14:textId="4BFEE945" w:rsidR="00494F2E" w:rsidRDefault="00494F2E" w:rsidP="00494F2E">
      <w:pPr>
        <w:pStyle w:val="NoSpacing"/>
      </w:pPr>
    </w:p>
    <w:p w14:paraId="0D47EBF0" w14:textId="77777777" w:rsidR="00494F2E" w:rsidRDefault="00494F2E" w:rsidP="00494F2E">
      <w:pPr>
        <w:pStyle w:val="NoSpacing"/>
      </w:pPr>
    </w:p>
    <w:p w14:paraId="7FE22E1A" w14:textId="0BF1A5C0" w:rsidR="00494F2E" w:rsidRPr="00494F2E" w:rsidRDefault="00494F2E" w:rsidP="00494F2E">
      <w:pPr>
        <w:rPr>
          <w:rFonts w:ascii="Calibre Light" w:hAnsi="Calibre Light"/>
          <w:sz w:val="24"/>
          <w:szCs w:val="24"/>
        </w:rPr>
      </w:pPr>
      <w:r w:rsidRPr="00494F2E">
        <w:rPr>
          <w:rFonts w:ascii="Calibre Light" w:hAnsi="Calibre Light"/>
          <w:b w:val="0"/>
          <w:bCs w:val="0"/>
          <w:color w:val="auto"/>
          <w:sz w:val="24"/>
          <w:szCs w:val="24"/>
        </w:rPr>
        <w:t>The GLA would welcome comments/questions on the index and further conversations – please do get in touch with</w:t>
      </w:r>
      <w:r w:rsidRPr="00494F2E">
        <w:rPr>
          <w:rFonts w:ascii="Calibre Light" w:hAnsi="Calibre Light"/>
          <w:color w:val="auto"/>
          <w:sz w:val="24"/>
          <w:szCs w:val="24"/>
        </w:rPr>
        <w:t xml:space="preserve"> </w:t>
      </w:r>
      <w:hyperlink r:id="rId14" w:history="1">
        <w:r w:rsidRPr="00494F2E">
          <w:rPr>
            <w:rStyle w:val="Hyperlink"/>
            <w:rFonts w:ascii="Calibre Light" w:hAnsi="Calibre Light"/>
            <w:sz w:val="24"/>
            <w:szCs w:val="24"/>
          </w:rPr>
          <w:t>Hannah.goulding@london.gov.uk</w:t>
        </w:r>
      </w:hyperlink>
      <w:r w:rsidRPr="00494F2E">
        <w:rPr>
          <w:rFonts w:ascii="Calibre Light" w:hAnsi="Calibre Light"/>
          <w:sz w:val="24"/>
          <w:szCs w:val="24"/>
        </w:rPr>
        <w:t xml:space="preserve"> </w:t>
      </w:r>
      <w:r w:rsidRPr="00494F2E">
        <w:rPr>
          <w:rFonts w:ascii="Calibre Light" w:hAnsi="Calibre Light"/>
          <w:b w:val="0"/>
          <w:bCs w:val="0"/>
          <w:color w:val="auto"/>
          <w:sz w:val="24"/>
          <w:szCs w:val="24"/>
        </w:rPr>
        <w:t>and</w:t>
      </w:r>
      <w:r w:rsidRPr="00494F2E">
        <w:rPr>
          <w:rFonts w:ascii="Calibre Light" w:hAnsi="Calibre Light"/>
          <w:sz w:val="24"/>
          <w:szCs w:val="24"/>
        </w:rPr>
        <w:t xml:space="preserve"> </w:t>
      </w:r>
      <w:hyperlink r:id="rId15" w:history="1">
        <w:r w:rsidRPr="00494F2E">
          <w:rPr>
            <w:rStyle w:val="Hyperlink"/>
            <w:rFonts w:ascii="Calibre Light" w:hAnsi="Calibre Light"/>
            <w:sz w:val="24"/>
            <w:szCs w:val="24"/>
          </w:rPr>
          <w:t>ladan.dirie@london.gov.uk</w:t>
        </w:r>
      </w:hyperlink>
      <w:r w:rsidRPr="00494F2E">
        <w:rPr>
          <w:rFonts w:ascii="Calibre Light" w:hAnsi="Calibre Light"/>
          <w:sz w:val="24"/>
          <w:szCs w:val="24"/>
        </w:rPr>
        <w:t>.</w:t>
      </w:r>
    </w:p>
    <w:p w14:paraId="394C00A7" w14:textId="77777777" w:rsidR="00494F2E" w:rsidRPr="00494F2E" w:rsidRDefault="00494F2E" w:rsidP="00494F2E">
      <w:pPr>
        <w:spacing w:after="0" w:line="240" w:lineRule="auto"/>
        <w:rPr>
          <w:rFonts w:ascii="Calibre Light" w:eastAsia="Times New Roman" w:hAnsi="Calibre Light"/>
          <w:sz w:val="24"/>
          <w:szCs w:val="24"/>
        </w:rPr>
      </w:pPr>
    </w:p>
    <w:p w14:paraId="550A7EAF" w14:textId="4BAB79BA" w:rsidR="002948F0" w:rsidRDefault="00296A75" w:rsidP="002948F0">
      <w:pPr>
        <w:pStyle w:val="NoSpacing"/>
        <w:rPr>
          <w:rFonts w:ascii="Calibre Light" w:hAnsi="Calibre Light"/>
          <w:sz w:val="24"/>
          <w:szCs w:val="24"/>
          <w:lang w:eastAsia="en-GB"/>
        </w:rPr>
      </w:pPr>
      <w:r>
        <w:rPr>
          <w:rFonts w:ascii="Calibre Light" w:hAnsi="Calibre Light"/>
          <w:sz w:val="24"/>
          <w:szCs w:val="24"/>
          <w:lang w:eastAsia="en-GB"/>
        </w:rPr>
        <w:t xml:space="preserve">The slides with further information can be found </w:t>
      </w:r>
      <w:hyperlink r:id="rId16" w:history="1">
        <w:r w:rsidRPr="001320AF">
          <w:rPr>
            <w:rStyle w:val="Hyperlink"/>
            <w:rFonts w:ascii="Calibre Light" w:hAnsi="Calibre Light"/>
            <w:sz w:val="24"/>
            <w:szCs w:val="24"/>
            <w:lang w:eastAsia="en-GB"/>
          </w:rPr>
          <w:t>here</w:t>
        </w:r>
      </w:hyperlink>
      <w:r w:rsidR="001320AF">
        <w:rPr>
          <w:rFonts w:ascii="Calibre Light" w:hAnsi="Calibre Light"/>
          <w:sz w:val="24"/>
          <w:szCs w:val="24"/>
          <w:lang w:eastAsia="en-GB"/>
        </w:rPr>
        <w:t xml:space="preserve">. </w:t>
      </w:r>
      <w:r>
        <w:rPr>
          <w:rFonts w:ascii="Calibre Light" w:hAnsi="Calibre Light"/>
          <w:sz w:val="24"/>
          <w:szCs w:val="24"/>
          <w:lang w:eastAsia="en-GB"/>
        </w:rPr>
        <w:t xml:space="preserve"> </w:t>
      </w:r>
    </w:p>
    <w:p w14:paraId="0EAAE5DB" w14:textId="77777777" w:rsidR="002948F0" w:rsidRDefault="002948F0" w:rsidP="002948F0">
      <w:pPr>
        <w:pStyle w:val="NoSpacing"/>
        <w:rPr>
          <w:rFonts w:ascii="Calibre Light" w:hAnsi="Calibre Light"/>
          <w:sz w:val="24"/>
          <w:szCs w:val="24"/>
          <w:lang w:eastAsia="en-GB"/>
        </w:rPr>
      </w:pPr>
    </w:p>
    <w:p w14:paraId="15BC6F8D" w14:textId="77777777" w:rsidR="004C1AF6" w:rsidRDefault="004C1AF6" w:rsidP="002948F0">
      <w:pPr>
        <w:rPr>
          <w:lang w:eastAsia="en-GB"/>
        </w:rPr>
      </w:pPr>
    </w:p>
    <w:p w14:paraId="67384C54" w14:textId="79103B1A" w:rsidR="002948F0" w:rsidRDefault="002948F0" w:rsidP="002948F0">
      <w:pPr>
        <w:rPr>
          <w:lang w:eastAsia="en-GB"/>
        </w:rPr>
      </w:pPr>
      <w:r>
        <w:rPr>
          <w:lang w:eastAsia="en-GB"/>
        </w:rPr>
        <w:t xml:space="preserve">Further reading </w:t>
      </w:r>
      <w:r w:rsidR="00296A75">
        <w:rPr>
          <w:lang w:eastAsia="en-GB"/>
        </w:rPr>
        <w:t xml:space="preserve">and resources </w:t>
      </w:r>
    </w:p>
    <w:p w14:paraId="56CE5C1F" w14:textId="1885D807" w:rsidR="00296A75" w:rsidRDefault="00296A75" w:rsidP="002948F0">
      <w:pPr>
        <w:rPr>
          <w:rFonts w:ascii="Calibre Semibold" w:hAnsi="Calibre Semibold"/>
          <w:b w:val="0"/>
          <w:bCs w:val="0"/>
          <w:color w:val="auto"/>
          <w:sz w:val="24"/>
          <w:szCs w:val="24"/>
          <w:lang w:eastAsia="en-GB"/>
        </w:rPr>
      </w:pPr>
      <w:r w:rsidRPr="009D124C">
        <w:rPr>
          <w:rFonts w:ascii="Calibre Semibold" w:hAnsi="Calibre Semibold"/>
          <w:b w:val="0"/>
          <w:bCs w:val="0"/>
          <w:color w:val="auto"/>
          <w:sz w:val="24"/>
          <w:szCs w:val="24"/>
          <w:lang w:eastAsia="en-GB"/>
        </w:rPr>
        <w:t xml:space="preserve">All resources from the event can be found </w:t>
      </w:r>
      <w:hyperlink r:id="rId17" w:history="1">
        <w:r w:rsidRPr="009D124C">
          <w:rPr>
            <w:rStyle w:val="Hyperlink"/>
            <w:rFonts w:ascii="Calibre Semibold" w:hAnsi="Calibre Semibold"/>
            <w:b w:val="0"/>
            <w:bCs w:val="0"/>
            <w:sz w:val="24"/>
            <w:szCs w:val="24"/>
            <w:lang w:eastAsia="en-GB"/>
          </w:rPr>
          <w:t>here</w:t>
        </w:r>
      </w:hyperlink>
      <w:r w:rsidRPr="009D124C">
        <w:rPr>
          <w:rFonts w:ascii="Calibre Semibold" w:hAnsi="Calibre Semibold"/>
          <w:b w:val="0"/>
          <w:bCs w:val="0"/>
          <w:color w:val="auto"/>
          <w:sz w:val="24"/>
          <w:szCs w:val="24"/>
          <w:lang w:eastAsia="en-GB"/>
        </w:rPr>
        <w:t xml:space="preserve">. </w:t>
      </w:r>
    </w:p>
    <w:p w14:paraId="14436EB4" w14:textId="77777777" w:rsidR="00106E79" w:rsidRDefault="00106E79" w:rsidP="002948F0">
      <w:pPr>
        <w:rPr>
          <w:rFonts w:ascii="Calibre Semibold" w:hAnsi="Calibre Semibold"/>
          <w:b w:val="0"/>
          <w:bCs w:val="0"/>
          <w:color w:val="auto"/>
          <w:sz w:val="24"/>
          <w:szCs w:val="24"/>
          <w:lang w:eastAsia="en-GB"/>
        </w:rPr>
      </w:pPr>
    </w:p>
    <w:p w14:paraId="744F7DD3" w14:textId="79FAB8A1" w:rsidR="009D124C" w:rsidRDefault="009D124C" w:rsidP="002948F0">
      <w:pPr>
        <w:rPr>
          <w:rFonts w:ascii="Calibre Semibold" w:hAnsi="Calibre Semibold"/>
          <w:b w:val="0"/>
          <w:bCs w:val="0"/>
          <w:color w:val="auto"/>
          <w:sz w:val="24"/>
          <w:szCs w:val="24"/>
          <w:lang w:eastAsia="en-GB"/>
        </w:rPr>
      </w:pPr>
      <w:r w:rsidRPr="009D124C">
        <w:rPr>
          <w:rFonts w:ascii="Calibre Semibold" w:hAnsi="Calibre Semibold"/>
          <w:b w:val="0"/>
          <w:bCs w:val="0"/>
          <w:color w:val="auto"/>
          <w:sz w:val="24"/>
          <w:szCs w:val="24"/>
          <w:lang w:eastAsia="en-GB"/>
        </w:rPr>
        <w:t xml:space="preserve">The London Funders data insight with further reading can be found </w:t>
      </w:r>
      <w:hyperlink r:id="rId18" w:history="1">
        <w:r w:rsidRPr="009D124C">
          <w:rPr>
            <w:rStyle w:val="Hyperlink"/>
            <w:rFonts w:ascii="Calibre Semibold" w:hAnsi="Calibre Semibold"/>
            <w:b w:val="0"/>
            <w:bCs w:val="0"/>
            <w:sz w:val="24"/>
            <w:szCs w:val="24"/>
            <w:lang w:eastAsia="en-GB"/>
          </w:rPr>
          <w:t>here</w:t>
        </w:r>
      </w:hyperlink>
      <w:r w:rsidRPr="009D124C">
        <w:rPr>
          <w:rFonts w:ascii="Calibre Semibold" w:hAnsi="Calibre Semibold"/>
          <w:b w:val="0"/>
          <w:bCs w:val="0"/>
          <w:color w:val="auto"/>
          <w:sz w:val="24"/>
          <w:szCs w:val="24"/>
          <w:lang w:eastAsia="en-GB"/>
        </w:rPr>
        <w:t xml:space="preserve">.  </w:t>
      </w:r>
    </w:p>
    <w:p w14:paraId="2289FAC1" w14:textId="77777777" w:rsidR="00106E79" w:rsidRDefault="00106E79" w:rsidP="002948F0">
      <w:pPr>
        <w:rPr>
          <w:rFonts w:ascii="Calibre Semibold" w:hAnsi="Calibre Semibold"/>
          <w:b w:val="0"/>
          <w:bCs w:val="0"/>
          <w:color w:val="auto"/>
          <w:sz w:val="24"/>
          <w:szCs w:val="24"/>
          <w:lang w:eastAsia="en-GB"/>
        </w:rPr>
      </w:pPr>
    </w:p>
    <w:p w14:paraId="0954D688" w14:textId="59ED0401" w:rsidR="009D124C" w:rsidRPr="00106E79" w:rsidRDefault="009D124C" w:rsidP="009D124C">
      <w:pPr>
        <w:pStyle w:val="NoSpacing"/>
        <w:rPr>
          <w:rFonts w:ascii="Calibre Light" w:hAnsi="Calibre Light"/>
          <w:sz w:val="24"/>
          <w:szCs w:val="24"/>
          <w:lang w:eastAsia="en-GB"/>
        </w:rPr>
      </w:pPr>
      <w:r w:rsidRPr="00106E79">
        <w:rPr>
          <w:rFonts w:ascii="Calibre Semibold" w:hAnsi="Calibre Semibold"/>
          <w:sz w:val="24"/>
          <w:szCs w:val="24"/>
          <w:lang w:eastAsia="en-GB"/>
        </w:rPr>
        <w:t>The Civic Strength Index,</w:t>
      </w:r>
      <w:r>
        <w:rPr>
          <w:lang w:eastAsia="en-GB"/>
        </w:rPr>
        <w:t xml:space="preserve"> </w:t>
      </w:r>
      <w:r w:rsidRPr="00106E79">
        <w:rPr>
          <w:rFonts w:ascii="Calibre Light" w:hAnsi="Calibre Light"/>
          <w:sz w:val="24"/>
          <w:szCs w:val="24"/>
          <w:lang w:eastAsia="en-GB"/>
        </w:rPr>
        <w:t xml:space="preserve">GLA </w:t>
      </w:r>
    </w:p>
    <w:p w14:paraId="74BF7EB0" w14:textId="22657C88" w:rsidR="00106E79" w:rsidRDefault="00B32239" w:rsidP="009D124C">
      <w:pPr>
        <w:pStyle w:val="NoSpacing"/>
        <w:rPr>
          <w:rFonts w:ascii="Calibre Light" w:hAnsi="Calibre Light"/>
          <w:sz w:val="24"/>
          <w:szCs w:val="24"/>
          <w:lang w:eastAsia="en-GB"/>
        </w:rPr>
      </w:pPr>
      <w:hyperlink r:id="rId19" w:history="1">
        <w:r w:rsidR="00106E79" w:rsidRPr="00106E79">
          <w:rPr>
            <w:rStyle w:val="Hyperlink"/>
            <w:rFonts w:ascii="Calibre Light" w:hAnsi="Calibre Light"/>
            <w:sz w:val="24"/>
            <w:szCs w:val="24"/>
            <w:lang w:eastAsia="en-GB"/>
          </w:rPr>
          <w:t>https://www.youngfoundation.org/our-work/publications/london-civic-strength-index/</w:t>
        </w:r>
      </w:hyperlink>
      <w:r w:rsidR="00106E79" w:rsidRPr="00106E79">
        <w:rPr>
          <w:rFonts w:ascii="Calibre Light" w:hAnsi="Calibre Light"/>
          <w:sz w:val="24"/>
          <w:szCs w:val="24"/>
          <w:lang w:eastAsia="en-GB"/>
        </w:rPr>
        <w:t xml:space="preserve"> </w:t>
      </w:r>
    </w:p>
    <w:p w14:paraId="2A672CA6" w14:textId="77777777" w:rsidR="00106E79" w:rsidRPr="00106E79" w:rsidRDefault="00106E79" w:rsidP="009D124C">
      <w:pPr>
        <w:pStyle w:val="NoSpacing"/>
        <w:rPr>
          <w:rFonts w:ascii="Calibre Light" w:hAnsi="Calibre Light"/>
          <w:sz w:val="24"/>
          <w:szCs w:val="24"/>
          <w:lang w:eastAsia="en-GB"/>
        </w:rPr>
      </w:pPr>
    </w:p>
    <w:p w14:paraId="6D345431" w14:textId="77777777" w:rsidR="00106E79" w:rsidRDefault="00106E79" w:rsidP="00C657CA">
      <w:pPr>
        <w:pStyle w:val="NoSpacing"/>
        <w:rPr>
          <w:rFonts w:ascii="Calibre Semibold" w:hAnsi="Calibre Semibold"/>
          <w:sz w:val="24"/>
          <w:szCs w:val="24"/>
          <w:lang w:eastAsia="en-GB"/>
        </w:rPr>
      </w:pPr>
    </w:p>
    <w:p w14:paraId="798815AC" w14:textId="5B97E4E0" w:rsidR="00C657CA" w:rsidRPr="00C657CA" w:rsidRDefault="00C657CA" w:rsidP="00C657CA">
      <w:pPr>
        <w:pStyle w:val="NoSpacing"/>
        <w:rPr>
          <w:rFonts w:ascii="Calibre Light" w:hAnsi="Calibre Light"/>
          <w:sz w:val="24"/>
          <w:szCs w:val="24"/>
          <w:lang w:eastAsia="en-GB"/>
        </w:rPr>
      </w:pPr>
      <w:r w:rsidRPr="004521AE">
        <w:rPr>
          <w:rFonts w:ascii="Calibre Semibold" w:hAnsi="Calibre Semibold"/>
          <w:sz w:val="24"/>
          <w:szCs w:val="24"/>
          <w:lang w:eastAsia="en-GB"/>
        </w:rPr>
        <w:t>What is it and how can funders use it</w:t>
      </w:r>
      <w:r w:rsidR="004521AE" w:rsidRPr="004521AE">
        <w:rPr>
          <w:rFonts w:ascii="Calibre Semibold" w:hAnsi="Calibre Semibold"/>
          <w:sz w:val="24"/>
          <w:szCs w:val="24"/>
          <w:lang w:eastAsia="en-GB"/>
        </w:rPr>
        <w:t>,</w:t>
      </w:r>
      <w:r w:rsidRPr="00C657CA">
        <w:rPr>
          <w:rFonts w:ascii="Calibre Light" w:hAnsi="Calibre Light"/>
          <w:sz w:val="24"/>
          <w:szCs w:val="24"/>
          <w:lang w:eastAsia="en-GB"/>
        </w:rPr>
        <w:t xml:space="preserve"> London </w:t>
      </w:r>
      <w:proofErr w:type="gramStart"/>
      <w:r w:rsidRPr="00C657CA">
        <w:rPr>
          <w:rFonts w:ascii="Calibre Light" w:hAnsi="Calibre Light"/>
          <w:sz w:val="24"/>
          <w:szCs w:val="24"/>
          <w:lang w:eastAsia="en-GB"/>
        </w:rPr>
        <w:t>Funders</w:t>
      </w:r>
      <w:proofErr w:type="gramEnd"/>
      <w:r w:rsidRPr="00C657CA">
        <w:rPr>
          <w:rFonts w:ascii="Calibre Light" w:hAnsi="Calibre Light"/>
          <w:sz w:val="24"/>
          <w:szCs w:val="24"/>
          <w:lang w:eastAsia="en-GB"/>
        </w:rPr>
        <w:t xml:space="preserve"> </w:t>
      </w:r>
    </w:p>
    <w:p w14:paraId="6E258E66" w14:textId="53289B78" w:rsidR="007F6B13" w:rsidRDefault="00B32239" w:rsidP="002948F0">
      <w:pPr>
        <w:rPr>
          <w:rFonts w:ascii="Calibre Light" w:hAnsi="Calibre Light"/>
          <w:b w:val="0"/>
          <w:bCs w:val="0"/>
          <w:color w:val="auto"/>
          <w:sz w:val="24"/>
          <w:szCs w:val="24"/>
          <w:lang w:eastAsia="en-GB"/>
        </w:rPr>
      </w:pPr>
      <w:hyperlink r:id="rId20" w:history="1">
        <w:r w:rsidR="007F6B13" w:rsidRPr="00C657CA">
          <w:rPr>
            <w:rStyle w:val="Hyperlink"/>
            <w:rFonts w:ascii="Calibre Light" w:hAnsi="Calibre Light"/>
            <w:b w:val="0"/>
            <w:bCs w:val="0"/>
            <w:sz w:val="24"/>
            <w:szCs w:val="24"/>
            <w:lang w:eastAsia="en-GB"/>
          </w:rPr>
          <w:t>https://londonfunders.org.uk/latest/news/civic-strength-index-what-it-and-how-can-funders-use-it</w:t>
        </w:r>
      </w:hyperlink>
      <w:r w:rsidR="007F6B13" w:rsidRPr="00C657CA">
        <w:rPr>
          <w:rFonts w:ascii="Calibre Light" w:hAnsi="Calibre Light"/>
          <w:b w:val="0"/>
          <w:bCs w:val="0"/>
          <w:color w:val="auto"/>
          <w:sz w:val="24"/>
          <w:szCs w:val="24"/>
          <w:lang w:eastAsia="en-GB"/>
        </w:rPr>
        <w:t xml:space="preserve"> </w:t>
      </w:r>
    </w:p>
    <w:p w14:paraId="57E12927" w14:textId="77777777" w:rsidR="00106E79" w:rsidRDefault="00106E79" w:rsidP="002948F0">
      <w:pPr>
        <w:rPr>
          <w:rFonts w:ascii="Calibre Light" w:hAnsi="Calibre Light"/>
          <w:b w:val="0"/>
          <w:bCs w:val="0"/>
          <w:color w:val="auto"/>
          <w:sz w:val="24"/>
          <w:szCs w:val="24"/>
          <w:lang w:eastAsia="en-GB"/>
        </w:rPr>
      </w:pPr>
    </w:p>
    <w:p w14:paraId="61790D3D" w14:textId="69FE02FC" w:rsidR="007F6B13" w:rsidRPr="004521AE" w:rsidRDefault="00C60A78" w:rsidP="00C60A78">
      <w:pPr>
        <w:pStyle w:val="NoSpacing"/>
        <w:rPr>
          <w:rFonts w:ascii="Calibre Light" w:hAnsi="Calibre Light"/>
          <w:sz w:val="24"/>
          <w:szCs w:val="24"/>
          <w:lang w:eastAsia="en-GB"/>
        </w:rPr>
      </w:pPr>
      <w:r w:rsidRPr="004521AE">
        <w:rPr>
          <w:rFonts w:ascii="Calibre Semibold" w:hAnsi="Calibre Semibold"/>
          <w:sz w:val="24"/>
          <w:szCs w:val="24"/>
          <w:lang w:eastAsia="en-GB"/>
        </w:rPr>
        <w:t>Useful datasets</w:t>
      </w:r>
      <w:r w:rsidR="004521AE" w:rsidRPr="004521AE">
        <w:rPr>
          <w:rFonts w:ascii="Calibre Semibold" w:hAnsi="Calibre Semibold"/>
          <w:sz w:val="24"/>
          <w:szCs w:val="24"/>
          <w:lang w:eastAsia="en-GB"/>
        </w:rPr>
        <w:t>,</w:t>
      </w:r>
      <w:r>
        <w:rPr>
          <w:lang w:eastAsia="en-GB"/>
        </w:rPr>
        <w:t xml:space="preserve"> </w:t>
      </w:r>
      <w:r w:rsidRPr="004521AE">
        <w:rPr>
          <w:rFonts w:ascii="Calibre Light" w:hAnsi="Calibre Light"/>
          <w:sz w:val="24"/>
          <w:szCs w:val="24"/>
          <w:lang w:eastAsia="en-GB"/>
        </w:rPr>
        <w:t>London Funders</w:t>
      </w:r>
    </w:p>
    <w:p w14:paraId="0F65AB6F" w14:textId="73F49FD8" w:rsidR="00C60A78" w:rsidRDefault="00B32239" w:rsidP="002948F0">
      <w:pPr>
        <w:rPr>
          <w:rFonts w:ascii="Calibre Light" w:hAnsi="Calibre Light"/>
          <w:b w:val="0"/>
          <w:bCs w:val="0"/>
          <w:color w:val="auto"/>
          <w:sz w:val="24"/>
          <w:szCs w:val="24"/>
          <w:lang w:eastAsia="en-GB"/>
        </w:rPr>
      </w:pPr>
      <w:hyperlink r:id="rId21" w:history="1">
        <w:r w:rsidR="00C60A78" w:rsidRPr="004521AE">
          <w:rPr>
            <w:rStyle w:val="Hyperlink"/>
            <w:rFonts w:ascii="Calibre Light" w:hAnsi="Calibre Light"/>
            <w:b w:val="0"/>
            <w:bCs w:val="0"/>
            <w:sz w:val="24"/>
            <w:szCs w:val="24"/>
            <w:lang w:eastAsia="en-GB"/>
          </w:rPr>
          <w:t>https://londonfunders.org.uk/resources-publications/tools-funders/useful-datasets</w:t>
        </w:r>
      </w:hyperlink>
      <w:r w:rsidR="00C60A78" w:rsidRPr="004521AE">
        <w:rPr>
          <w:rFonts w:ascii="Calibre Light" w:hAnsi="Calibre Light"/>
          <w:b w:val="0"/>
          <w:bCs w:val="0"/>
          <w:color w:val="auto"/>
          <w:sz w:val="24"/>
          <w:szCs w:val="24"/>
          <w:lang w:eastAsia="en-GB"/>
        </w:rPr>
        <w:t xml:space="preserve"> </w:t>
      </w:r>
    </w:p>
    <w:p w14:paraId="0AA52A24" w14:textId="77777777" w:rsidR="00106E79" w:rsidRPr="004521AE" w:rsidRDefault="00106E79" w:rsidP="002948F0">
      <w:pPr>
        <w:rPr>
          <w:rFonts w:ascii="Calibre Light" w:hAnsi="Calibre Light"/>
          <w:b w:val="0"/>
          <w:bCs w:val="0"/>
          <w:color w:val="auto"/>
          <w:sz w:val="24"/>
          <w:szCs w:val="24"/>
          <w:lang w:eastAsia="en-GB"/>
        </w:rPr>
      </w:pPr>
    </w:p>
    <w:p w14:paraId="6E2D7473" w14:textId="77777777" w:rsidR="004C1AF6" w:rsidRDefault="004C1AF6" w:rsidP="004521AE">
      <w:pPr>
        <w:pStyle w:val="NoSpacing"/>
        <w:rPr>
          <w:rFonts w:ascii="Calibre Semibold" w:hAnsi="Calibre Semibold"/>
          <w:sz w:val="24"/>
          <w:szCs w:val="24"/>
        </w:rPr>
      </w:pPr>
    </w:p>
    <w:p w14:paraId="0C3309BB" w14:textId="77777777" w:rsidR="004C1AF6" w:rsidRDefault="004C1AF6" w:rsidP="004521AE">
      <w:pPr>
        <w:pStyle w:val="NoSpacing"/>
        <w:rPr>
          <w:rFonts w:ascii="Calibre Semibold" w:hAnsi="Calibre Semibold"/>
          <w:sz w:val="24"/>
          <w:szCs w:val="24"/>
        </w:rPr>
      </w:pPr>
    </w:p>
    <w:p w14:paraId="3583070D" w14:textId="60D95231" w:rsidR="00954951" w:rsidRPr="004521AE" w:rsidRDefault="00954951" w:rsidP="004521AE">
      <w:pPr>
        <w:pStyle w:val="NoSpacing"/>
        <w:rPr>
          <w:rFonts w:ascii="Calibre Light" w:hAnsi="Calibre Light"/>
          <w:sz w:val="24"/>
          <w:szCs w:val="24"/>
        </w:rPr>
      </w:pPr>
      <w:r w:rsidRPr="004521AE">
        <w:rPr>
          <w:rFonts w:ascii="Calibre Semibold" w:hAnsi="Calibre Semibold"/>
          <w:sz w:val="24"/>
          <w:szCs w:val="24"/>
        </w:rPr>
        <w:t>Reports Reloaded: Civil Society in the Age of Coronavirus – A+B+C=</w:t>
      </w:r>
      <w:proofErr w:type="gramStart"/>
      <w:r w:rsidRPr="004521AE">
        <w:rPr>
          <w:rFonts w:ascii="Calibre Semibold" w:hAnsi="Calibre Semibold"/>
          <w:sz w:val="24"/>
          <w:szCs w:val="24"/>
        </w:rPr>
        <w:t>D?</w:t>
      </w:r>
      <w:r w:rsidR="004521AE">
        <w:rPr>
          <w:rFonts w:ascii="Calibre Semibold" w:hAnsi="Calibre Semibold"/>
          <w:sz w:val="24"/>
          <w:szCs w:val="24"/>
        </w:rPr>
        <w:t>,</w:t>
      </w:r>
      <w:proofErr w:type="gramEnd"/>
      <w:r>
        <w:t xml:space="preserve"> </w:t>
      </w:r>
      <w:r w:rsidRPr="004521AE">
        <w:rPr>
          <w:rFonts w:ascii="Calibre Light" w:hAnsi="Calibre Light"/>
          <w:sz w:val="24"/>
          <w:szCs w:val="24"/>
        </w:rPr>
        <w:t xml:space="preserve">London Funders </w:t>
      </w:r>
    </w:p>
    <w:p w14:paraId="29BF3CD8" w14:textId="7D4E668A" w:rsidR="00BD5154" w:rsidRDefault="00B32239" w:rsidP="002948F0">
      <w:pPr>
        <w:rPr>
          <w:rFonts w:ascii="Calibre Light" w:hAnsi="Calibre Light"/>
          <w:b w:val="0"/>
          <w:bCs w:val="0"/>
          <w:color w:val="auto"/>
          <w:sz w:val="24"/>
          <w:szCs w:val="24"/>
          <w:lang w:eastAsia="en-GB"/>
        </w:rPr>
      </w:pPr>
      <w:hyperlink r:id="rId22" w:history="1">
        <w:r w:rsidR="00C62A50" w:rsidRPr="004521AE">
          <w:rPr>
            <w:rStyle w:val="Hyperlink"/>
            <w:rFonts w:ascii="Calibre Light" w:hAnsi="Calibre Light"/>
            <w:b w:val="0"/>
            <w:bCs w:val="0"/>
            <w:sz w:val="24"/>
            <w:szCs w:val="24"/>
            <w:lang w:eastAsia="en-GB"/>
          </w:rPr>
          <w:t>https://londonfunders.org.uk/latest/news/reports-reloaded-civil-society-age-coronavirus-abcd</w:t>
        </w:r>
      </w:hyperlink>
      <w:r w:rsidR="00C62A50" w:rsidRPr="004521AE">
        <w:rPr>
          <w:rFonts w:ascii="Calibre Light" w:hAnsi="Calibre Light"/>
          <w:b w:val="0"/>
          <w:bCs w:val="0"/>
          <w:color w:val="auto"/>
          <w:sz w:val="24"/>
          <w:szCs w:val="24"/>
          <w:lang w:eastAsia="en-GB"/>
        </w:rPr>
        <w:t xml:space="preserve"> </w:t>
      </w:r>
    </w:p>
    <w:p w14:paraId="43C0B691" w14:textId="77777777" w:rsidR="00106E79" w:rsidRPr="004521AE" w:rsidRDefault="00106E79" w:rsidP="002948F0">
      <w:pPr>
        <w:rPr>
          <w:rFonts w:ascii="Calibre Light" w:hAnsi="Calibre Light"/>
          <w:b w:val="0"/>
          <w:bCs w:val="0"/>
          <w:color w:val="auto"/>
          <w:sz w:val="24"/>
          <w:szCs w:val="24"/>
          <w:lang w:eastAsia="en-GB"/>
        </w:rPr>
      </w:pPr>
    </w:p>
    <w:p w14:paraId="09F5F5A6" w14:textId="7FAFB83A" w:rsidR="006F7E50" w:rsidRPr="004521AE" w:rsidRDefault="006F7E50" w:rsidP="006F7E50">
      <w:pPr>
        <w:pStyle w:val="NoSpacing"/>
        <w:rPr>
          <w:rFonts w:ascii="Calibre Light" w:hAnsi="Calibre Light"/>
          <w:sz w:val="24"/>
          <w:szCs w:val="24"/>
        </w:rPr>
      </w:pPr>
      <w:r w:rsidRPr="004521AE">
        <w:rPr>
          <w:rFonts w:ascii="Calibre Semibold" w:hAnsi="Calibre Semibold"/>
          <w:sz w:val="24"/>
          <w:szCs w:val="24"/>
        </w:rPr>
        <w:t xml:space="preserve">Reports Reloaded: 3 years on from More, Better, Together: a strategic review of giving in London – where are we </w:t>
      </w:r>
      <w:proofErr w:type="gramStart"/>
      <w:r w:rsidRPr="004521AE">
        <w:rPr>
          <w:rFonts w:ascii="Calibre Semibold" w:hAnsi="Calibre Semibold"/>
          <w:sz w:val="24"/>
          <w:szCs w:val="24"/>
        </w:rPr>
        <w:t>now?</w:t>
      </w:r>
      <w:r w:rsidR="004521AE">
        <w:t>,</w:t>
      </w:r>
      <w:proofErr w:type="gramEnd"/>
      <w:r>
        <w:t xml:space="preserve"> </w:t>
      </w:r>
      <w:r w:rsidRPr="004521AE">
        <w:rPr>
          <w:rFonts w:ascii="Calibre Light" w:hAnsi="Calibre Light"/>
          <w:sz w:val="24"/>
          <w:szCs w:val="24"/>
        </w:rPr>
        <w:t xml:space="preserve">London Funders </w:t>
      </w:r>
    </w:p>
    <w:p w14:paraId="4C76A7B9" w14:textId="5328AB05" w:rsidR="00954951" w:rsidRDefault="00B32239" w:rsidP="002948F0">
      <w:pPr>
        <w:rPr>
          <w:rFonts w:ascii="Calibre Light" w:hAnsi="Calibre Light"/>
          <w:b w:val="0"/>
          <w:bCs w:val="0"/>
          <w:color w:val="auto"/>
          <w:sz w:val="24"/>
          <w:szCs w:val="24"/>
          <w:lang w:eastAsia="en-GB"/>
        </w:rPr>
      </w:pPr>
      <w:hyperlink r:id="rId23" w:history="1">
        <w:r w:rsidR="00954951" w:rsidRPr="004521AE">
          <w:rPr>
            <w:rStyle w:val="Hyperlink"/>
            <w:rFonts w:ascii="Calibre Light" w:hAnsi="Calibre Light"/>
            <w:b w:val="0"/>
            <w:bCs w:val="0"/>
            <w:sz w:val="24"/>
            <w:szCs w:val="24"/>
            <w:lang w:eastAsia="en-GB"/>
          </w:rPr>
          <w:t>https://londonfunders.org.uk/latest/news/reports-reloaded-3-years-more-better-together-strategic-review-giving-london-where-are</w:t>
        </w:r>
      </w:hyperlink>
      <w:r w:rsidR="00954951" w:rsidRPr="004521AE">
        <w:rPr>
          <w:rFonts w:ascii="Calibre Light" w:hAnsi="Calibre Light"/>
          <w:b w:val="0"/>
          <w:bCs w:val="0"/>
          <w:color w:val="auto"/>
          <w:sz w:val="24"/>
          <w:szCs w:val="24"/>
          <w:lang w:eastAsia="en-GB"/>
        </w:rPr>
        <w:t xml:space="preserve"> </w:t>
      </w:r>
    </w:p>
    <w:p w14:paraId="5A35D08E" w14:textId="77777777" w:rsidR="00106E79" w:rsidRPr="004521AE" w:rsidRDefault="00106E79" w:rsidP="002948F0">
      <w:pPr>
        <w:rPr>
          <w:rFonts w:ascii="Calibre Light" w:hAnsi="Calibre Light"/>
          <w:b w:val="0"/>
          <w:bCs w:val="0"/>
          <w:color w:val="auto"/>
          <w:sz w:val="24"/>
          <w:szCs w:val="24"/>
          <w:lang w:eastAsia="en-GB"/>
        </w:rPr>
      </w:pPr>
    </w:p>
    <w:p w14:paraId="24004DD1" w14:textId="6FEAA06E" w:rsidR="004521AE" w:rsidRPr="004521AE" w:rsidRDefault="004521AE" w:rsidP="004521AE">
      <w:pPr>
        <w:pStyle w:val="NoSpacing"/>
        <w:rPr>
          <w:rFonts w:ascii="Calibre Semibold" w:hAnsi="Calibre Semibold"/>
          <w:sz w:val="24"/>
          <w:szCs w:val="24"/>
        </w:rPr>
      </w:pPr>
      <w:r w:rsidRPr="004521AE">
        <w:rPr>
          <w:rFonts w:ascii="Calibre Semibold" w:hAnsi="Calibre Semibold"/>
          <w:sz w:val="24"/>
          <w:szCs w:val="24"/>
        </w:rPr>
        <w:t>Flipping the coin: two sides of community wealth in England</w:t>
      </w:r>
      <w:r>
        <w:rPr>
          <w:rFonts w:ascii="Calibre Semibold" w:hAnsi="Calibre Semibold"/>
          <w:sz w:val="24"/>
          <w:szCs w:val="24"/>
        </w:rPr>
        <w:t>,</w:t>
      </w:r>
      <w:r w:rsidRPr="004521AE">
        <w:rPr>
          <w:rFonts w:ascii="Calibre Semibold" w:hAnsi="Calibre Semibold"/>
          <w:sz w:val="24"/>
          <w:szCs w:val="24"/>
        </w:rPr>
        <w:t xml:space="preserve"> </w:t>
      </w:r>
      <w:r w:rsidRPr="004521AE">
        <w:rPr>
          <w:rFonts w:ascii="Calibre Light" w:hAnsi="Calibre Light"/>
          <w:sz w:val="24"/>
          <w:szCs w:val="24"/>
        </w:rPr>
        <w:t>The Young Foundation</w:t>
      </w:r>
      <w:r w:rsidRPr="004521AE">
        <w:rPr>
          <w:rFonts w:ascii="Calibre Semibold" w:hAnsi="Calibre Semibold"/>
          <w:sz w:val="24"/>
          <w:szCs w:val="24"/>
        </w:rPr>
        <w:t xml:space="preserve"> </w:t>
      </w:r>
    </w:p>
    <w:p w14:paraId="0705F288" w14:textId="4E27569C" w:rsidR="002948F0" w:rsidRPr="004521AE" w:rsidRDefault="004521AE" w:rsidP="002948F0">
      <w:pPr>
        <w:pStyle w:val="NoSpacing"/>
        <w:rPr>
          <w:rStyle w:val="Hyperlink"/>
          <w:rFonts w:ascii="Calibre Light" w:hAnsi="Calibre Light"/>
          <w:sz w:val="24"/>
          <w:szCs w:val="24"/>
          <w:lang w:eastAsia="en-GB"/>
        </w:rPr>
      </w:pPr>
      <w:r>
        <w:rPr>
          <w:rFonts w:ascii="Calibre Light" w:hAnsi="Calibre Light"/>
          <w:sz w:val="24"/>
          <w:szCs w:val="24"/>
          <w:lang w:eastAsia="en-GB"/>
        </w:rPr>
        <w:fldChar w:fldCharType="begin"/>
      </w:r>
      <w:r>
        <w:rPr>
          <w:rFonts w:ascii="Calibre Light" w:hAnsi="Calibre Light"/>
          <w:sz w:val="24"/>
          <w:szCs w:val="24"/>
          <w:lang w:eastAsia="en-GB"/>
        </w:rPr>
        <w:instrText xml:space="preserve"> HYPERLINK "https://www.youngfoundation.org/our-work/publications/flipping-the-coin-two-sides-of-community-wealth-in-england/" </w:instrText>
      </w:r>
      <w:r>
        <w:rPr>
          <w:rFonts w:ascii="Calibre Light" w:hAnsi="Calibre Light"/>
          <w:sz w:val="24"/>
          <w:szCs w:val="24"/>
          <w:lang w:eastAsia="en-GB"/>
        </w:rPr>
        <w:fldChar w:fldCharType="separate"/>
      </w:r>
      <w:r w:rsidR="002948F0" w:rsidRPr="004521AE">
        <w:rPr>
          <w:rStyle w:val="Hyperlink"/>
          <w:rFonts w:ascii="Calibre Light" w:hAnsi="Calibre Light"/>
          <w:sz w:val="24"/>
          <w:szCs w:val="24"/>
          <w:lang w:eastAsia="en-GB"/>
        </w:rPr>
        <w:t xml:space="preserve">https://www.youngfoundation.org/our-work/publications/flipping-the-coin-two-sides-of-community-wealth-in-england/ </w:t>
      </w:r>
    </w:p>
    <w:p w14:paraId="0A36045B" w14:textId="0529A871" w:rsidR="002948F0" w:rsidRPr="00B55F34" w:rsidRDefault="004521AE" w:rsidP="002948F0">
      <w:pPr>
        <w:rPr>
          <w:sz w:val="24"/>
          <w:szCs w:val="24"/>
        </w:rPr>
      </w:pPr>
      <w:r>
        <w:rPr>
          <w:rFonts w:ascii="Calibre Light" w:hAnsi="Calibre Light" w:cstheme="minorBidi"/>
          <w:b w:val="0"/>
          <w:bCs w:val="0"/>
          <w:color w:val="auto"/>
          <w:sz w:val="24"/>
          <w:szCs w:val="24"/>
          <w:lang w:eastAsia="en-GB"/>
        </w:rPr>
        <w:fldChar w:fldCharType="end"/>
      </w:r>
    </w:p>
    <w:p w14:paraId="5551CC55" w14:textId="77777777" w:rsidR="002948F0" w:rsidRPr="00B55F34" w:rsidRDefault="002948F0" w:rsidP="002948F0">
      <w:pPr>
        <w:rPr>
          <w:sz w:val="24"/>
          <w:szCs w:val="24"/>
        </w:rPr>
      </w:pPr>
      <w:r w:rsidRPr="00B55F34">
        <w:rPr>
          <w:sz w:val="24"/>
          <w:szCs w:val="24"/>
        </w:rPr>
        <w:t> </w:t>
      </w:r>
    </w:p>
    <w:p w14:paraId="3E18B857" w14:textId="77777777" w:rsidR="002948F0" w:rsidRPr="00B55F34" w:rsidRDefault="002948F0" w:rsidP="002948F0">
      <w:pPr>
        <w:rPr>
          <w:sz w:val="24"/>
          <w:szCs w:val="24"/>
        </w:rPr>
      </w:pPr>
      <w:r w:rsidRPr="00B55F34">
        <w:rPr>
          <w:sz w:val="24"/>
          <w:szCs w:val="24"/>
        </w:rPr>
        <w:t> </w:t>
      </w:r>
    </w:p>
    <w:p w14:paraId="5564A4D1" w14:textId="77777777" w:rsidR="002948F0" w:rsidRPr="00B55F34" w:rsidRDefault="002948F0" w:rsidP="002948F0">
      <w:pPr>
        <w:rPr>
          <w:sz w:val="24"/>
          <w:szCs w:val="24"/>
          <w:lang w:val="en-US"/>
        </w:rPr>
      </w:pPr>
    </w:p>
    <w:p w14:paraId="7CEF98C7" w14:textId="77777777" w:rsidR="00AA0F5E" w:rsidRDefault="00AA0F5E" w:rsidP="00C069C6">
      <w:pPr>
        <w:pStyle w:val="paragraph"/>
        <w:spacing w:before="0" w:beforeAutospacing="0" w:after="0" w:afterAutospacing="0"/>
        <w:textAlignment w:val="baseline"/>
        <w:rPr>
          <w:rStyle w:val="eop"/>
          <w:rFonts w:ascii="Calibre" w:hAnsi="Calibre" w:cs="Calibri"/>
          <w:sz w:val="22"/>
          <w:szCs w:val="22"/>
        </w:rPr>
      </w:pPr>
    </w:p>
    <w:p w14:paraId="369E0DFD" w14:textId="0F948FEA" w:rsidR="00AA0F5E" w:rsidRPr="00AA0F5E" w:rsidRDefault="00AA0F5E" w:rsidP="00C069C6">
      <w:pPr>
        <w:pStyle w:val="paragraph"/>
        <w:spacing w:before="0" w:beforeAutospacing="0" w:after="0" w:afterAutospacing="0"/>
        <w:textAlignment w:val="baseline"/>
        <w:rPr>
          <w:rStyle w:val="eop"/>
          <w:rFonts w:ascii="Calibre" w:hAnsi="Calibre" w:cs="Calibri"/>
          <w:sz w:val="22"/>
          <w:szCs w:val="22"/>
        </w:rPr>
      </w:pPr>
    </w:p>
    <w:sectPr w:rsidR="00AA0F5E" w:rsidRPr="00AA0F5E" w:rsidSect="00A31C95">
      <w:head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0E99B" w14:textId="77777777" w:rsidR="001E5CFF" w:rsidRDefault="001E5CFF" w:rsidP="00C73D69">
      <w:pPr>
        <w:spacing w:after="0" w:line="240" w:lineRule="auto"/>
      </w:pPr>
      <w:r>
        <w:separator/>
      </w:r>
    </w:p>
  </w:endnote>
  <w:endnote w:type="continuationSeparator" w:id="0">
    <w:p w14:paraId="2AC80527" w14:textId="77777777" w:rsidR="001E5CFF" w:rsidRDefault="001E5CFF" w:rsidP="00C73D69">
      <w:pPr>
        <w:spacing w:after="0" w:line="240" w:lineRule="auto"/>
      </w:pPr>
      <w:r>
        <w:continuationSeparator/>
      </w:r>
    </w:p>
  </w:endnote>
  <w:endnote w:type="continuationNotice" w:id="1">
    <w:p w14:paraId="3237D579" w14:textId="77777777" w:rsidR="001E5CFF" w:rsidRDefault="001E5C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e Light">
    <w:panose1 w:val="020B0303030202060203"/>
    <w:charset w:val="00"/>
    <w:family w:val="swiss"/>
    <w:notTrueType/>
    <w:pitch w:val="variable"/>
    <w:sig w:usb0="00000007" w:usb1="00000000" w:usb2="00000000" w:usb3="00000000" w:csb0="00000093" w:csb1="00000000"/>
  </w:font>
  <w:font w:name="Calibre">
    <w:panose1 w:val="020B0803030202060203"/>
    <w:charset w:val="00"/>
    <w:family w:val="swiss"/>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e Semibold">
    <w:panose1 w:val="020B07030302020602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FE811" w14:textId="77777777" w:rsidR="001E5CFF" w:rsidRDefault="001E5CFF" w:rsidP="00C73D69">
      <w:pPr>
        <w:spacing w:after="0" w:line="240" w:lineRule="auto"/>
      </w:pPr>
      <w:r>
        <w:separator/>
      </w:r>
    </w:p>
  </w:footnote>
  <w:footnote w:type="continuationSeparator" w:id="0">
    <w:p w14:paraId="5EF09D0B" w14:textId="77777777" w:rsidR="001E5CFF" w:rsidRDefault="001E5CFF" w:rsidP="00C73D69">
      <w:pPr>
        <w:spacing w:after="0" w:line="240" w:lineRule="auto"/>
      </w:pPr>
      <w:r>
        <w:continuationSeparator/>
      </w:r>
    </w:p>
  </w:footnote>
  <w:footnote w:type="continuationNotice" w:id="1">
    <w:p w14:paraId="68392A3F" w14:textId="77777777" w:rsidR="001E5CFF" w:rsidRDefault="001E5C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51DAF" w14:textId="22E3C93E" w:rsidR="0010377F" w:rsidRDefault="0010377F" w:rsidP="00585376">
    <w:pPr>
      <w:pStyle w:val="Header"/>
      <w:jc w:val="right"/>
    </w:pPr>
    <w:r>
      <w:rPr>
        <w:noProof/>
      </w:rPr>
      <w:drawing>
        <wp:anchor distT="0" distB="0" distL="114300" distR="114300" simplePos="0" relativeHeight="251660288" behindDoc="0" locked="0" layoutInCell="1" allowOverlap="1" wp14:anchorId="1261C0BB" wp14:editId="7AAFD339">
          <wp:simplePos x="0" y="0"/>
          <wp:positionH relativeFrom="column">
            <wp:posOffset>-121920</wp:posOffset>
          </wp:positionH>
          <wp:positionV relativeFrom="paragraph">
            <wp:posOffset>-222885</wp:posOffset>
          </wp:positionV>
          <wp:extent cx="1005840" cy="836930"/>
          <wp:effectExtent l="0" t="0" r="3810" b="127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836930"/>
                  </a:xfrm>
                  <a:prstGeom prst="rect">
                    <a:avLst/>
                  </a:prstGeom>
                  <a:noFill/>
                  <a:ln>
                    <a:noFill/>
                  </a:ln>
                </pic:spPr>
              </pic:pic>
            </a:graphicData>
          </a:graphic>
        </wp:anchor>
      </w:drawing>
    </w:r>
  </w:p>
  <w:p w14:paraId="588C6EDD" w14:textId="63FC0F29" w:rsidR="00C73D69" w:rsidRPr="003F310C" w:rsidRDefault="00F04B72" w:rsidP="007732D1">
    <w:pPr>
      <w:pStyle w:val="paragraph"/>
      <w:spacing w:before="0" w:beforeAutospacing="0" w:after="0" w:afterAutospacing="0"/>
      <w:ind w:left="2160"/>
      <w:textAlignment w:val="baseline"/>
      <w:rPr>
        <w:rFonts w:ascii="Calibre Semibold" w:hAnsi="Calibre Semibold" w:cs="Calibri"/>
        <w:b w:val="0"/>
        <w:bCs w:val="0"/>
        <w:lang w:val="en-US"/>
      </w:rPr>
    </w:pPr>
    <w:r w:rsidRPr="00CA0D06">
      <w:rPr>
        <w:rFonts w:ascii="Calibre Semibold" w:hAnsi="Calibre Semibold" w:cs="Calibri"/>
        <w:b w:val="0"/>
        <w:bCs w:val="0"/>
        <w:sz w:val="28"/>
        <w:szCs w:val="28"/>
      </w:rPr>
      <w:t>Insight Meeting: How do we measure the building of strong communities?</w:t>
    </w:r>
    <w:r w:rsidRPr="00CA0D06">
      <w:rPr>
        <w:rFonts w:ascii="Calibre Semibold" w:hAnsi="Calibre Semibold" w:cs="Calibri"/>
        <w:b w:val="0"/>
        <w:bCs w:val="0"/>
        <w:sz w:val="28"/>
        <w:szCs w:val="28"/>
      </w:rPr>
      <w:br/>
    </w:r>
    <w:r w:rsidR="00E1300B" w:rsidRPr="00CA0D06">
      <w:rPr>
        <w:rFonts w:ascii="Calibre Light" w:hAnsi="Calibre Light" w:cs="Calibri"/>
        <w:b w:val="0"/>
        <w:bCs w:val="0"/>
      </w:rPr>
      <w:t>February 23</w:t>
    </w:r>
    <w:r w:rsidR="00E1300B" w:rsidRPr="00CA0D06">
      <w:rPr>
        <w:rFonts w:ascii="Calibre Light" w:hAnsi="Calibre Light" w:cs="Calibri"/>
        <w:b w:val="0"/>
        <w:bCs w:val="0"/>
        <w:vertAlign w:val="superscript"/>
      </w:rPr>
      <w:t>rd</w:t>
    </w:r>
    <w:r w:rsidR="00E1300B" w:rsidRPr="00CA0D06">
      <w:rPr>
        <w:rFonts w:ascii="Calibre Light" w:hAnsi="Calibre Light" w:cs="Calibri"/>
        <w:b w:val="0"/>
        <w:bCs w:val="0"/>
      </w:rPr>
      <w:t xml:space="preserve"> </w:t>
    </w:r>
    <w:r w:rsidR="00CA0D06" w:rsidRPr="00CA0D06">
      <w:rPr>
        <w:rFonts w:ascii="Calibre Light" w:hAnsi="Calibre Light" w:cs="Calibri"/>
        <w:b w:val="0"/>
        <w:bCs w:val="0"/>
      </w:rPr>
      <w:t>10.00 – 11.00</w:t>
    </w:r>
    <w:r w:rsidR="00CA0D06" w:rsidRPr="00CA0D06">
      <w:rPr>
        <w:rFonts w:ascii="Calibre Semibold" w:hAnsi="Calibre Semibold" w:cs="Calibri"/>
        <w:b w:val="0"/>
        <w:bCs w:val="0"/>
      </w:rPr>
      <w:t xml:space="preserve"> </w:t>
    </w:r>
  </w:p>
  <w:p w14:paraId="6C96B916" w14:textId="045F4604" w:rsidR="00C73D69" w:rsidRDefault="00C73D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653"/>
    <w:multiLevelType w:val="hybridMultilevel"/>
    <w:tmpl w:val="6736FFBC"/>
    <w:lvl w:ilvl="0" w:tplc="A58801CC">
      <w:numFmt w:val="bullet"/>
      <w:lvlText w:val="-"/>
      <w:lvlJc w:val="left"/>
      <w:pPr>
        <w:ind w:left="720" w:hanging="360"/>
      </w:pPr>
      <w:rPr>
        <w:rFonts w:ascii="Calibre Light" w:eastAsiaTheme="minorHAnsi" w:hAnsi="Calibr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F20DD"/>
    <w:multiLevelType w:val="hybridMultilevel"/>
    <w:tmpl w:val="D74AB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FF1023"/>
    <w:multiLevelType w:val="hybridMultilevel"/>
    <w:tmpl w:val="76E0CA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874EEE"/>
    <w:multiLevelType w:val="multilevel"/>
    <w:tmpl w:val="AA9A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324424"/>
    <w:multiLevelType w:val="hybridMultilevel"/>
    <w:tmpl w:val="9CDADB58"/>
    <w:lvl w:ilvl="0" w:tplc="FFFFFFFF">
      <w:start w:val="1"/>
      <w:numFmt w:val="decimal"/>
      <w:lvlText w:val="%1)"/>
      <w:lvlJc w:val="left"/>
      <w:pPr>
        <w:ind w:left="720" w:hanging="360"/>
      </w:pPr>
      <w:rPr>
        <w:rFonts w:hint="default"/>
      </w:rPr>
    </w:lvl>
    <w:lvl w:ilvl="1" w:tplc="FFFFFFFF">
      <w:start w:val="1"/>
      <w:numFmt w:val="bullet"/>
      <w:lvlText w:val="-"/>
      <w:lvlJc w:val="left"/>
      <w:pPr>
        <w:ind w:left="360" w:hanging="360"/>
      </w:pPr>
      <w:rPr>
        <w:rFonts w:ascii="Calibre" w:eastAsiaTheme="minorHAnsi" w:hAnsi="Calibre" w:cstheme="minorBid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8071858"/>
    <w:multiLevelType w:val="hybridMultilevel"/>
    <w:tmpl w:val="2DC8A5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105"/>
    <w:rsid w:val="00006673"/>
    <w:rsid w:val="00012300"/>
    <w:rsid w:val="00024AAA"/>
    <w:rsid w:val="00074595"/>
    <w:rsid w:val="00086009"/>
    <w:rsid w:val="000B27AC"/>
    <w:rsid w:val="000B2F70"/>
    <w:rsid w:val="000C1BBA"/>
    <w:rsid w:val="000C4C8F"/>
    <w:rsid w:val="000E5E81"/>
    <w:rsid w:val="000E6ADF"/>
    <w:rsid w:val="0010377F"/>
    <w:rsid w:val="00106E79"/>
    <w:rsid w:val="00113E36"/>
    <w:rsid w:val="001160CF"/>
    <w:rsid w:val="00121C58"/>
    <w:rsid w:val="001320AF"/>
    <w:rsid w:val="00136A28"/>
    <w:rsid w:val="0016295C"/>
    <w:rsid w:val="00170C13"/>
    <w:rsid w:val="00190107"/>
    <w:rsid w:val="0019073C"/>
    <w:rsid w:val="00197B96"/>
    <w:rsid w:val="001B140B"/>
    <w:rsid w:val="001E4133"/>
    <w:rsid w:val="001E5CFF"/>
    <w:rsid w:val="001E7BCB"/>
    <w:rsid w:val="001F461B"/>
    <w:rsid w:val="00201B89"/>
    <w:rsid w:val="002177B6"/>
    <w:rsid w:val="00220C9F"/>
    <w:rsid w:val="002316F3"/>
    <w:rsid w:val="00243A5F"/>
    <w:rsid w:val="00244439"/>
    <w:rsid w:val="002660EB"/>
    <w:rsid w:val="00273D18"/>
    <w:rsid w:val="00290E8A"/>
    <w:rsid w:val="0029478A"/>
    <w:rsid w:val="002948F0"/>
    <w:rsid w:val="00296A75"/>
    <w:rsid w:val="002B5E04"/>
    <w:rsid w:val="002C2935"/>
    <w:rsid w:val="002D01F0"/>
    <w:rsid w:val="002F66EE"/>
    <w:rsid w:val="00307327"/>
    <w:rsid w:val="00315CF8"/>
    <w:rsid w:val="00320EB1"/>
    <w:rsid w:val="00322373"/>
    <w:rsid w:val="003256FF"/>
    <w:rsid w:val="00327995"/>
    <w:rsid w:val="00330AD0"/>
    <w:rsid w:val="00330FEA"/>
    <w:rsid w:val="00347793"/>
    <w:rsid w:val="00351AD7"/>
    <w:rsid w:val="00356D51"/>
    <w:rsid w:val="0036467E"/>
    <w:rsid w:val="00370A2C"/>
    <w:rsid w:val="003B1147"/>
    <w:rsid w:val="003C5116"/>
    <w:rsid w:val="003D3924"/>
    <w:rsid w:val="003E10BD"/>
    <w:rsid w:val="003F1F3A"/>
    <w:rsid w:val="003F310C"/>
    <w:rsid w:val="003F48FD"/>
    <w:rsid w:val="003F71C8"/>
    <w:rsid w:val="00401052"/>
    <w:rsid w:val="00410585"/>
    <w:rsid w:val="00413F0F"/>
    <w:rsid w:val="00427CBF"/>
    <w:rsid w:val="00431D68"/>
    <w:rsid w:val="00432ADA"/>
    <w:rsid w:val="00450AF0"/>
    <w:rsid w:val="00452141"/>
    <w:rsid w:val="004521AE"/>
    <w:rsid w:val="00456AC8"/>
    <w:rsid w:val="00466669"/>
    <w:rsid w:val="0048291E"/>
    <w:rsid w:val="00494BF0"/>
    <w:rsid w:val="00494F2E"/>
    <w:rsid w:val="004A3CA2"/>
    <w:rsid w:val="004A3EFA"/>
    <w:rsid w:val="004B5C0B"/>
    <w:rsid w:val="004C1AF6"/>
    <w:rsid w:val="004D5CD2"/>
    <w:rsid w:val="004E575A"/>
    <w:rsid w:val="004F1FEB"/>
    <w:rsid w:val="004F2A7F"/>
    <w:rsid w:val="00523770"/>
    <w:rsid w:val="00550E06"/>
    <w:rsid w:val="005568CB"/>
    <w:rsid w:val="0058358F"/>
    <w:rsid w:val="00585376"/>
    <w:rsid w:val="00587E27"/>
    <w:rsid w:val="00595A11"/>
    <w:rsid w:val="005C2064"/>
    <w:rsid w:val="005C3E53"/>
    <w:rsid w:val="005C4286"/>
    <w:rsid w:val="005C5718"/>
    <w:rsid w:val="005D0819"/>
    <w:rsid w:val="005E5C11"/>
    <w:rsid w:val="005E7943"/>
    <w:rsid w:val="005F3381"/>
    <w:rsid w:val="005F3A0B"/>
    <w:rsid w:val="005F703C"/>
    <w:rsid w:val="0060453C"/>
    <w:rsid w:val="006059EF"/>
    <w:rsid w:val="0062604D"/>
    <w:rsid w:val="0063249D"/>
    <w:rsid w:val="00637921"/>
    <w:rsid w:val="006507DF"/>
    <w:rsid w:val="00656A68"/>
    <w:rsid w:val="0066083A"/>
    <w:rsid w:val="006707CD"/>
    <w:rsid w:val="00695A9E"/>
    <w:rsid w:val="006B4771"/>
    <w:rsid w:val="006C206E"/>
    <w:rsid w:val="006C6E3B"/>
    <w:rsid w:val="006E1C7E"/>
    <w:rsid w:val="006F51B0"/>
    <w:rsid w:val="006F7E50"/>
    <w:rsid w:val="007068A4"/>
    <w:rsid w:val="00725680"/>
    <w:rsid w:val="00737105"/>
    <w:rsid w:val="007507AD"/>
    <w:rsid w:val="00751147"/>
    <w:rsid w:val="00753662"/>
    <w:rsid w:val="007732D1"/>
    <w:rsid w:val="007747D1"/>
    <w:rsid w:val="00782411"/>
    <w:rsid w:val="00782F85"/>
    <w:rsid w:val="0078364C"/>
    <w:rsid w:val="00784E9B"/>
    <w:rsid w:val="00784FFB"/>
    <w:rsid w:val="00785A17"/>
    <w:rsid w:val="00786080"/>
    <w:rsid w:val="007929F1"/>
    <w:rsid w:val="007A058B"/>
    <w:rsid w:val="007A1B18"/>
    <w:rsid w:val="007D426B"/>
    <w:rsid w:val="007D6BA1"/>
    <w:rsid w:val="007E5383"/>
    <w:rsid w:val="007F6B13"/>
    <w:rsid w:val="0081202A"/>
    <w:rsid w:val="0084537B"/>
    <w:rsid w:val="00850E52"/>
    <w:rsid w:val="00854785"/>
    <w:rsid w:val="00855816"/>
    <w:rsid w:val="00864206"/>
    <w:rsid w:val="00871E57"/>
    <w:rsid w:val="00875BCB"/>
    <w:rsid w:val="008914C8"/>
    <w:rsid w:val="008B68DB"/>
    <w:rsid w:val="008C266D"/>
    <w:rsid w:val="008C26E8"/>
    <w:rsid w:val="008C60FF"/>
    <w:rsid w:val="008D025E"/>
    <w:rsid w:val="008D34B5"/>
    <w:rsid w:val="008E130C"/>
    <w:rsid w:val="008F5DFB"/>
    <w:rsid w:val="00901BE3"/>
    <w:rsid w:val="0090590D"/>
    <w:rsid w:val="00907167"/>
    <w:rsid w:val="00916155"/>
    <w:rsid w:val="00916797"/>
    <w:rsid w:val="009250FC"/>
    <w:rsid w:val="00927A03"/>
    <w:rsid w:val="00927FCF"/>
    <w:rsid w:val="00930794"/>
    <w:rsid w:val="00937BED"/>
    <w:rsid w:val="00943244"/>
    <w:rsid w:val="00954951"/>
    <w:rsid w:val="00960959"/>
    <w:rsid w:val="009648E6"/>
    <w:rsid w:val="009A0F24"/>
    <w:rsid w:val="009A3564"/>
    <w:rsid w:val="009A69AC"/>
    <w:rsid w:val="009B7CA1"/>
    <w:rsid w:val="009D124C"/>
    <w:rsid w:val="00A020E2"/>
    <w:rsid w:val="00A26807"/>
    <w:rsid w:val="00A31C95"/>
    <w:rsid w:val="00A636D5"/>
    <w:rsid w:val="00A708BB"/>
    <w:rsid w:val="00A81433"/>
    <w:rsid w:val="00A913F6"/>
    <w:rsid w:val="00A91F24"/>
    <w:rsid w:val="00A94FC4"/>
    <w:rsid w:val="00A9580F"/>
    <w:rsid w:val="00AA0F5E"/>
    <w:rsid w:val="00AB4FD4"/>
    <w:rsid w:val="00AC5CDD"/>
    <w:rsid w:val="00AC5DD9"/>
    <w:rsid w:val="00AC63A2"/>
    <w:rsid w:val="00AD7264"/>
    <w:rsid w:val="00AE61C2"/>
    <w:rsid w:val="00B23596"/>
    <w:rsid w:val="00B25AE9"/>
    <w:rsid w:val="00B32239"/>
    <w:rsid w:val="00B32A1A"/>
    <w:rsid w:val="00B368B2"/>
    <w:rsid w:val="00B37E66"/>
    <w:rsid w:val="00B40FCA"/>
    <w:rsid w:val="00B423C7"/>
    <w:rsid w:val="00B54550"/>
    <w:rsid w:val="00B73D70"/>
    <w:rsid w:val="00B73F60"/>
    <w:rsid w:val="00B96813"/>
    <w:rsid w:val="00BA48D1"/>
    <w:rsid w:val="00BA5F61"/>
    <w:rsid w:val="00BD5154"/>
    <w:rsid w:val="00BD7F8A"/>
    <w:rsid w:val="00BF274A"/>
    <w:rsid w:val="00C069C6"/>
    <w:rsid w:val="00C101E8"/>
    <w:rsid w:val="00C11C29"/>
    <w:rsid w:val="00C202BB"/>
    <w:rsid w:val="00C55F33"/>
    <w:rsid w:val="00C60A78"/>
    <w:rsid w:val="00C62A50"/>
    <w:rsid w:val="00C657CA"/>
    <w:rsid w:val="00C73D69"/>
    <w:rsid w:val="00CA0D06"/>
    <w:rsid w:val="00CB6EC1"/>
    <w:rsid w:val="00CB7C48"/>
    <w:rsid w:val="00CC4F85"/>
    <w:rsid w:val="00CD6EFB"/>
    <w:rsid w:val="00CE26F1"/>
    <w:rsid w:val="00CE5226"/>
    <w:rsid w:val="00CE7EC4"/>
    <w:rsid w:val="00D04EDD"/>
    <w:rsid w:val="00D07C4E"/>
    <w:rsid w:val="00D23F10"/>
    <w:rsid w:val="00D52F9F"/>
    <w:rsid w:val="00D8084C"/>
    <w:rsid w:val="00D83E7B"/>
    <w:rsid w:val="00D94F85"/>
    <w:rsid w:val="00DB3D0B"/>
    <w:rsid w:val="00DC49E5"/>
    <w:rsid w:val="00DD2F48"/>
    <w:rsid w:val="00DE26AC"/>
    <w:rsid w:val="00E024E0"/>
    <w:rsid w:val="00E1300B"/>
    <w:rsid w:val="00E240F3"/>
    <w:rsid w:val="00E364DD"/>
    <w:rsid w:val="00E4288E"/>
    <w:rsid w:val="00E4562C"/>
    <w:rsid w:val="00E46458"/>
    <w:rsid w:val="00E471AF"/>
    <w:rsid w:val="00E82BE5"/>
    <w:rsid w:val="00E82E31"/>
    <w:rsid w:val="00E9285D"/>
    <w:rsid w:val="00E94612"/>
    <w:rsid w:val="00E94E35"/>
    <w:rsid w:val="00EA5C83"/>
    <w:rsid w:val="00EA7E7A"/>
    <w:rsid w:val="00EB1C83"/>
    <w:rsid w:val="00EB46FE"/>
    <w:rsid w:val="00EC0481"/>
    <w:rsid w:val="00EE0E59"/>
    <w:rsid w:val="00EE2CE2"/>
    <w:rsid w:val="00EF4B5F"/>
    <w:rsid w:val="00F04B72"/>
    <w:rsid w:val="00F21776"/>
    <w:rsid w:val="00F61585"/>
    <w:rsid w:val="00F61736"/>
    <w:rsid w:val="00F80916"/>
    <w:rsid w:val="00F82C30"/>
    <w:rsid w:val="00F854A4"/>
    <w:rsid w:val="00FA4864"/>
    <w:rsid w:val="00FA6947"/>
    <w:rsid w:val="00FB0DF6"/>
    <w:rsid w:val="00FE08FC"/>
    <w:rsid w:val="13A5DEDB"/>
    <w:rsid w:val="178D7A91"/>
    <w:rsid w:val="2E5C9C2B"/>
    <w:rsid w:val="4B20EB7C"/>
    <w:rsid w:val="6D009837"/>
    <w:rsid w:val="78229A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DECCD"/>
  <w15:chartTrackingRefBased/>
  <w15:docId w15:val="{75AEA590-026A-40CD-A42D-46D571D2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e" w:eastAsiaTheme="minorHAnsi" w:hAnsi="Calibre" w:cs="Calibri"/>
        <w:b/>
        <w:bCs/>
        <w:color w:val="C7047E"/>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105"/>
  </w:style>
  <w:style w:type="paragraph" w:styleId="Heading1">
    <w:name w:val="heading 1"/>
    <w:basedOn w:val="Normal"/>
    <w:link w:val="Heading1Char"/>
    <w:uiPriority w:val="9"/>
    <w:qFormat/>
    <w:rsid w:val="00751147"/>
    <w:pPr>
      <w:spacing w:before="100" w:beforeAutospacing="1" w:after="100" w:afterAutospacing="1" w:line="240" w:lineRule="auto"/>
      <w:outlineLvl w:val="0"/>
    </w:pPr>
    <w:rPr>
      <w:rFonts w:ascii="Times New Roman" w:eastAsia="Times New Roman" w:hAnsi="Times New Roman" w:cs="Times New Roman"/>
      <w:b w:val="0"/>
      <w:bCs w:val="0"/>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9E5"/>
    <w:pPr>
      <w:ind w:left="720"/>
      <w:contextualSpacing/>
    </w:pPr>
  </w:style>
  <w:style w:type="character" w:styleId="Hyperlink">
    <w:name w:val="Hyperlink"/>
    <w:basedOn w:val="DefaultParagraphFont"/>
    <w:uiPriority w:val="99"/>
    <w:unhideWhenUsed/>
    <w:rsid w:val="00456AC8"/>
    <w:rPr>
      <w:color w:val="0563C1" w:themeColor="hyperlink"/>
      <w:u w:val="single"/>
    </w:rPr>
  </w:style>
  <w:style w:type="character" w:styleId="UnresolvedMention">
    <w:name w:val="Unresolved Mention"/>
    <w:basedOn w:val="DefaultParagraphFont"/>
    <w:uiPriority w:val="99"/>
    <w:semiHidden/>
    <w:unhideWhenUsed/>
    <w:rsid w:val="00456AC8"/>
    <w:rPr>
      <w:color w:val="605E5C"/>
      <w:shd w:val="clear" w:color="auto" w:fill="E1DFDD"/>
    </w:rPr>
  </w:style>
  <w:style w:type="paragraph" w:styleId="Header">
    <w:name w:val="header"/>
    <w:basedOn w:val="Normal"/>
    <w:link w:val="HeaderChar"/>
    <w:uiPriority w:val="99"/>
    <w:unhideWhenUsed/>
    <w:rsid w:val="00C73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D69"/>
  </w:style>
  <w:style w:type="paragraph" w:styleId="Footer">
    <w:name w:val="footer"/>
    <w:basedOn w:val="Normal"/>
    <w:link w:val="FooterChar"/>
    <w:uiPriority w:val="99"/>
    <w:unhideWhenUsed/>
    <w:rsid w:val="00C73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D69"/>
  </w:style>
  <w:style w:type="character" w:customStyle="1" w:styleId="Heading1Char">
    <w:name w:val="Heading 1 Char"/>
    <w:basedOn w:val="DefaultParagraphFont"/>
    <w:link w:val="Heading1"/>
    <w:uiPriority w:val="9"/>
    <w:rsid w:val="00751147"/>
    <w:rPr>
      <w:rFonts w:ascii="Times New Roman" w:eastAsia="Times New Roman" w:hAnsi="Times New Roman" w:cs="Times New Roman"/>
      <w:b w:val="0"/>
      <w:bCs w:val="0"/>
      <w:kern w:val="36"/>
      <w:sz w:val="48"/>
      <w:szCs w:val="48"/>
      <w:lang w:eastAsia="en-GB"/>
    </w:rPr>
  </w:style>
  <w:style w:type="character" w:styleId="CommentReference">
    <w:name w:val="annotation reference"/>
    <w:basedOn w:val="DefaultParagraphFont"/>
    <w:uiPriority w:val="99"/>
    <w:semiHidden/>
    <w:unhideWhenUsed/>
    <w:rsid w:val="002316F3"/>
    <w:rPr>
      <w:sz w:val="16"/>
      <w:szCs w:val="16"/>
    </w:rPr>
  </w:style>
  <w:style w:type="paragraph" w:styleId="CommentText">
    <w:name w:val="annotation text"/>
    <w:basedOn w:val="Normal"/>
    <w:link w:val="CommentTextChar"/>
    <w:uiPriority w:val="99"/>
    <w:semiHidden/>
    <w:unhideWhenUsed/>
    <w:rsid w:val="002316F3"/>
    <w:pPr>
      <w:spacing w:line="240" w:lineRule="auto"/>
    </w:pPr>
    <w:rPr>
      <w:sz w:val="20"/>
      <w:szCs w:val="20"/>
    </w:rPr>
  </w:style>
  <w:style w:type="character" w:customStyle="1" w:styleId="CommentTextChar">
    <w:name w:val="Comment Text Char"/>
    <w:basedOn w:val="DefaultParagraphFont"/>
    <w:link w:val="CommentText"/>
    <w:uiPriority w:val="99"/>
    <w:semiHidden/>
    <w:rsid w:val="002316F3"/>
    <w:rPr>
      <w:sz w:val="20"/>
      <w:szCs w:val="20"/>
    </w:rPr>
  </w:style>
  <w:style w:type="paragraph" w:styleId="CommentSubject">
    <w:name w:val="annotation subject"/>
    <w:basedOn w:val="CommentText"/>
    <w:next w:val="CommentText"/>
    <w:link w:val="CommentSubjectChar"/>
    <w:uiPriority w:val="99"/>
    <w:semiHidden/>
    <w:unhideWhenUsed/>
    <w:rsid w:val="002316F3"/>
    <w:rPr>
      <w:b w:val="0"/>
      <w:bCs w:val="0"/>
    </w:rPr>
  </w:style>
  <w:style w:type="character" w:customStyle="1" w:styleId="CommentSubjectChar">
    <w:name w:val="Comment Subject Char"/>
    <w:basedOn w:val="CommentTextChar"/>
    <w:link w:val="CommentSubject"/>
    <w:uiPriority w:val="99"/>
    <w:semiHidden/>
    <w:rsid w:val="002316F3"/>
    <w:rPr>
      <w:b w:val="0"/>
      <w:bCs w:val="0"/>
      <w:sz w:val="20"/>
      <w:szCs w:val="20"/>
    </w:rPr>
  </w:style>
  <w:style w:type="character" w:styleId="FollowedHyperlink">
    <w:name w:val="FollowedHyperlink"/>
    <w:basedOn w:val="DefaultParagraphFont"/>
    <w:uiPriority w:val="99"/>
    <w:semiHidden/>
    <w:unhideWhenUsed/>
    <w:rsid w:val="009A3564"/>
    <w:rPr>
      <w:color w:val="954F72" w:themeColor="followedHyperlink"/>
      <w:u w:val="single"/>
    </w:rPr>
  </w:style>
  <w:style w:type="paragraph" w:customStyle="1" w:styleId="paragraph">
    <w:name w:val="paragraph"/>
    <w:basedOn w:val="Normal"/>
    <w:rsid w:val="00E82B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82BE5"/>
  </w:style>
  <w:style w:type="character" w:customStyle="1" w:styleId="eop">
    <w:name w:val="eop"/>
    <w:basedOn w:val="DefaultParagraphFont"/>
    <w:rsid w:val="00E82BE5"/>
  </w:style>
  <w:style w:type="table" w:styleId="TableGrid">
    <w:name w:val="Table Grid"/>
    <w:basedOn w:val="TableNormal"/>
    <w:uiPriority w:val="39"/>
    <w:rsid w:val="00D83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48F0"/>
    <w:pPr>
      <w:spacing w:after="0" w:line="240" w:lineRule="auto"/>
    </w:pPr>
    <w:rPr>
      <w:rFonts w:asciiTheme="minorHAnsi" w:hAnsiTheme="minorHAnsi" w:cstheme="minorBidi"/>
      <w:b w:val="0"/>
      <w:bCs w:val="0"/>
      <w:color w:val="auto"/>
      <w:sz w:val="22"/>
      <w:szCs w:val="22"/>
    </w:rPr>
  </w:style>
  <w:style w:type="paragraph" w:styleId="Revision">
    <w:name w:val="Revision"/>
    <w:hidden/>
    <w:uiPriority w:val="99"/>
    <w:semiHidden/>
    <w:rsid w:val="004666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886991">
      <w:bodyDiv w:val="1"/>
      <w:marLeft w:val="0"/>
      <w:marRight w:val="0"/>
      <w:marTop w:val="0"/>
      <w:marBottom w:val="0"/>
      <w:divBdr>
        <w:top w:val="none" w:sz="0" w:space="0" w:color="auto"/>
        <w:left w:val="none" w:sz="0" w:space="0" w:color="auto"/>
        <w:bottom w:val="none" w:sz="0" w:space="0" w:color="auto"/>
        <w:right w:val="none" w:sz="0" w:space="0" w:color="auto"/>
      </w:divBdr>
    </w:div>
    <w:div w:id="654840498">
      <w:bodyDiv w:val="1"/>
      <w:marLeft w:val="0"/>
      <w:marRight w:val="0"/>
      <w:marTop w:val="0"/>
      <w:marBottom w:val="0"/>
      <w:divBdr>
        <w:top w:val="none" w:sz="0" w:space="0" w:color="auto"/>
        <w:left w:val="none" w:sz="0" w:space="0" w:color="auto"/>
        <w:bottom w:val="none" w:sz="0" w:space="0" w:color="auto"/>
        <w:right w:val="none" w:sz="0" w:space="0" w:color="auto"/>
      </w:divBdr>
    </w:div>
    <w:div w:id="1122379063">
      <w:bodyDiv w:val="1"/>
      <w:marLeft w:val="0"/>
      <w:marRight w:val="0"/>
      <w:marTop w:val="0"/>
      <w:marBottom w:val="0"/>
      <w:divBdr>
        <w:top w:val="none" w:sz="0" w:space="0" w:color="auto"/>
        <w:left w:val="none" w:sz="0" w:space="0" w:color="auto"/>
        <w:bottom w:val="none" w:sz="0" w:space="0" w:color="auto"/>
        <w:right w:val="none" w:sz="0" w:space="0" w:color="auto"/>
      </w:divBdr>
    </w:div>
    <w:div w:id="1772319359">
      <w:bodyDiv w:val="1"/>
      <w:marLeft w:val="0"/>
      <w:marRight w:val="0"/>
      <w:marTop w:val="0"/>
      <w:marBottom w:val="0"/>
      <w:divBdr>
        <w:top w:val="none" w:sz="0" w:space="0" w:color="auto"/>
        <w:left w:val="none" w:sz="0" w:space="0" w:color="auto"/>
        <w:bottom w:val="none" w:sz="0" w:space="0" w:color="auto"/>
        <w:right w:val="none" w:sz="0" w:space="0" w:color="auto"/>
      </w:divBdr>
    </w:div>
    <w:div w:id="2004240484">
      <w:bodyDiv w:val="1"/>
      <w:marLeft w:val="0"/>
      <w:marRight w:val="0"/>
      <w:marTop w:val="0"/>
      <w:marBottom w:val="0"/>
      <w:divBdr>
        <w:top w:val="none" w:sz="0" w:space="0" w:color="auto"/>
        <w:left w:val="none" w:sz="0" w:space="0" w:color="auto"/>
        <w:bottom w:val="none" w:sz="0" w:space="0" w:color="auto"/>
        <w:right w:val="none" w:sz="0" w:space="0" w:color="auto"/>
      </w:divBdr>
    </w:div>
    <w:div w:id="212437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ngfoundation.org/our-work/publications/london-civic-strength-index/" TargetMode="External"/><Relationship Id="rId18" Type="http://schemas.openxmlformats.org/officeDocument/2006/relationships/hyperlink" Target="file:///C:\Users\Jessica%20Herbert.LF-LAP-10\London%20Funders\London%20Funders%20Team%20Site%20-%20Documents\Shared%20Data\LFD\LFG%20Files\3.%20Events\Events\2022\Insight%20meetings\February\Data%20insight_Building%20strong%20communities.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londonfunders.org.uk/resources-publications/tools-funders/useful-datasets" TargetMode="External"/><Relationship Id="rId7" Type="http://schemas.openxmlformats.org/officeDocument/2006/relationships/settings" Target="settings.xml"/><Relationship Id="rId12" Type="http://schemas.openxmlformats.org/officeDocument/2006/relationships/hyperlink" Target="https://londonfunders.org.uk/latest/events" TargetMode="External"/><Relationship Id="rId17" Type="http://schemas.openxmlformats.org/officeDocument/2006/relationships/hyperlink" Target="https://londonfunders.org.uk/latest/events/insight-meeting-how-do-we-measure-building-strong-communiti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Jessica%20Herbert.LF-LAP-10\OneDrive%20-%20London%20Funders\Desktop\GLA%20Civic%20Strength%20Index%20Presentation.pdf" TargetMode="External"/><Relationship Id="rId20" Type="http://schemas.openxmlformats.org/officeDocument/2006/relationships/hyperlink" Target="https://londonfunders.org.uk/latest/news/civic-strength-index-what-it-and-how-can-funders-use-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ndonfunders.org.uk/latest/event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ladan.dirie@london.gov.uk" TargetMode="External"/><Relationship Id="rId23" Type="http://schemas.openxmlformats.org/officeDocument/2006/relationships/hyperlink" Target="https://londonfunders.org.uk/latest/news/reports-reloaded-3-years-more-better-together-strategic-review-giving-london-where-are" TargetMode="External"/><Relationship Id="rId10" Type="http://schemas.openxmlformats.org/officeDocument/2006/relationships/endnotes" Target="endnotes.xml"/><Relationship Id="rId19" Type="http://schemas.openxmlformats.org/officeDocument/2006/relationships/hyperlink" Target="https://www.youngfoundation.org/our-work/publications/london-civic-strength-inde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nnah.goulding@london.gov.uk" TargetMode="External"/><Relationship Id="rId22" Type="http://schemas.openxmlformats.org/officeDocument/2006/relationships/hyperlink" Target="https://londonfunders.org.uk/latest/news/reports-reloaded-civil-society-age-coronavirus-abc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ondon Funders">
      <a:dk1>
        <a:sysClr val="windowText" lastClr="000000"/>
      </a:dk1>
      <a:lt1>
        <a:sysClr val="window" lastClr="FFFFFF"/>
      </a:lt1>
      <a:dk2>
        <a:srgbClr val="44546A"/>
      </a:dk2>
      <a:lt2>
        <a:srgbClr val="E7E6E6"/>
      </a:lt2>
      <a:accent1>
        <a:srgbClr val="C7047E"/>
      </a:accent1>
      <a:accent2>
        <a:srgbClr val="FFFFFF"/>
      </a:accent2>
      <a:accent3>
        <a:srgbClr val="FFFFFF"/>
      </a:accent3>
      <a:accent4>
        <a:srgbClr val="FFFFFF"/>
      </a:accent4>
      <a:accent5>
        <a:srgbClr val="FFFFFF"/>
      </a:accent5>
      <a:accent6>
        <a:srgbClr val="FFFFFF"/>
      </a:accent6>
      <a:hlink>
        <a:srgbClr val="0563C1"/>
      </a:hlink>
      <a:folHlink>
        <a:srgbClr val="954F72"/>
      </a:folHlink>
    </a:clrScheme>
    <a:fontScheme name="London Funders">
      <a:majorFont>
        <a:latin typeface="Calibre"/>
        <a:ea typeface=""/>
        <a:cs typeface=""/>
      </a:majorFont>
      <a:minorFont>
        <a:latin typeface="Calibr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A9B5EDB9AF30049BA9235DA3D725854" ma:contentTypeVersion="13" ma:contentTypeDescription="Create a new document." ma:contentTypeScope="" ma:versionID="e257388852dd7c999f371cc377f19b6a">
  <xsd:schema xmlns:xsd="http://www.w3.org/2001/XMLSchema" xmlns:xs="http://www.w3.org/2001/XMLSchema" xmlns:p="http://schemas.microsoft.com/office/2006/metadata/properties" xmlns:ns2="1d3e7ae0-a111-4f7f-b0e8-274c401a14d2" xmlns:ns3="bec6d8a1-fcfc-49f1-a6de-fcb0feaf700a" targetNamespace="http://schemas.microsoft.com/office/2006/metadata/properties" ma:root="true" ma:fieldsID="5f5adc9425020729dff952d59df383fe" ns2:_="" ns3:_="">
    <xsd:import namespace="1d3e7ae0-a111-4f7f-b0e8-274c401a14d2"/>
    <xsd:import namespace="bec6d8a1-fcfc-49f1-a6de-fcb0feaf70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e7ae0-a111-4f7f-b0e8-274c401a1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c6d8a1-fcfc-49f1-a6de-fcb0feaf70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2DBD4F-DAA2-4238-BC7B-1E593D1F5E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731A60-840E-482B-BDF4-6DF859E42999}">
  <ds:schemaRefs>
    <ds:schemaRef ds:uri="http://schemas.microsoft.com/sharepoint/v3/contenttype/forms"/>
  </ds:schemaRefs>
</ds:datastoreItem>
</file>

<file path=customXml/itemProps3.xml><?xml version="1.0" encoding="utf-8"?>
<ds:datastoreItem xmlns:ds="http://schemas.openxmlformats.org/officeDocument/2006/customXml" ds:itemID="{A757B491-8BB1-4C95-BF1B-A14C63D319C1}">
  <ds:schemaRefs>
    <ds:schemaRef ds:uri="http://schemas.openxmlformats.org/officeDocument/2006/bibliography"/>
  </ds:schemaRefs>
</ds:datastoreItem>
</file>

<file path=customXml/itemProps4.xml><?xml version="1.0" encoding="utf-8"?>
<ds:datastoreItem xmlns:ds="http://schemas.openxmlformats.org/officeDocument/2006/customXml" ds:itemID="{02D720BB-A8C8-400C-9635-A0A1E99C9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e7ae0-a111-4f7f-b0e8-274c401a14d2"/>
    <ds:schemaRef ds:uri="bec6d8a1-fcfc-49f1-a6de-fcb0feaf7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1015</Words>
  <Characters>5788</Characters>
  <Application>Microsoft Office Word</Application>
  <DocSecurity>0</DocSecurity>
  <Lines>48</Lines>
  <Paragraphs>13</Paragraphs>
  <ScaleCrop>false</ScaleCrop>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Malene Bratlie</dc:creator>
  <cp:keywords/>
  <dc:description/>
  <cp:lastModifiedBy>Jessica Herbert</cp:lastModifiedBy>
  <cp:revision>73</cp:revision>
  <dcterms:created xsi:type="dcterms:W3CDTF">2022-02-25T09:28:00Z</dcterms:created>
  <dcterms:modified xsi:type="dcterms:W3CDTF">2022-02-28T12:09:00Z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0x0101006A9B5EDB9AF30049BA9235DA3D725854</vt:lpwstr>
  </property>
</Properties>
</file>